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CE5" w:rsidRPr="00A415E5" w:rsidRDefault="009A6CE5" w:rsidP="009A6CE5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</w:rPr>
      </w:pPr>
      <w:r w:rsidRPr="00A415E5">
        <w:rPr>
          <w:rFonts w:ascii="Times New Roman" w:hAnsi="Times New Roman" w:cs="Times New Roman"/>
          <w:color w:val="auto"/>
          <w:sz w:val="24"/>
        </w:rPr>
        <w:t>TƏKLİF SORĞUSU</w:t>
      </w:r>
    </w:p>
    <w:p w:rsidR="009A6CE5" w:rsidRPr="00A415E5" w:rsidRDefault="009A6CE5" w:rsidP="009A6CE5">
      <w:pPr>
        <w:pStyle w:val="Heading2"/>
        <w:jc w:val="center"/>
        <w:rPr>
          <w:rFonts w:ascii="Times New Roman" w:hAnsi="Times New Roman" w:cs="Times New Roman"/>
          <w:color w:val="auto"/>
          <w:sz w:val="24"/>
        </w:rPr>
      </w:pPr>
      <w:r w:rsidRPr="00A415E5">
        <w:rPr>
          <w:rFonts w:ascii="Times New Roman" w:hAnsi="Times New Roman" w:cs="Times New Roman"/>
          <w:color w:val="auto"/>
          <w:sz w:val="24"/>
        </w:rPr>
        <w:t xml:space="preserve">Kart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Məlumatları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Mühiti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(CDE)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və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Ödəniş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İnfrastrukturu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üzrə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Müstəqil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Uyğunluq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Qiymətləndirilməsi</w:t>
      </w:r>
      <w:proofErr w:type="spellEnd"/>
    </w:p>
    <w:p w:rsidR="00E842C4" w:rsidRPr="00A415E5" w:rsidRDefault="00E842C4" w:rsidP="00E842C4">
      <w:pPr>
        <w:pStyle w:val="NormalWeb"/>
        <w:jc w:val="both"/>
        <w:rPr>
          <w:sz w:val="22"/>
        </w:rPr>
      </w:pPr>
      <w:r w:rsidRPr="00A415E5">
        <w:rPr>
          <w:rStyle w:val="Strong"/>
          <w:b w:val="0"/>
          <w:sz w:val="22"/>
        </w:rPr>
        <w:t xml:space="preserve">Kart </w:t>
      </w:r>
      <w:proofErr w:type="spellStart"/>
      <w:r w:rsidRPr="00A415E5">
        <w:rPr>
          <w:rStyle w:val="Strong"/>
          <w:b w:val="0"/>
          <w:sz w:val="22"/>
        </w:rPr>
        <w:t>Məlumatları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Mühiti</w:t>
      </w:r>
      <w:proofErr w:type="spellEnd"/>
      <w:r w:rsidRPr="00A415E5">
        <w:rPr>
          <w:rStyle w:val="Strong"/>
          <w:b w:val="0"/>
          <w:sz w:val="22"/>
        </w:rPr>
        <w:t xml:space="preserve"> (CDE) </w:t>
      </w:r>
      <w:proofErr w:type="spellStart"/>
      <w:r w:rsidRPr="00A415E5">
        <w:rPr>
          <w:rStyle w:val="Strong"/>
          <w:b w:val="0"/>
          <w:sz w:val="22"/>
        </w:rPr>
        <w:t>və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Ödəniş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İnfrastrukturu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üzrə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Müstəqil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Uyğunluq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Qiymətləndirilməsi</w:t>
      </w:r>
      <w:proofErr w:type="spellEnd"/>
    </w:p>
    <w:p w:rsidR="00E842C4" w:rsidRPr="00A415E5" w:rsidRDefault="00E842C4" w:rsidP="009A6CE5">
      <w:pPr>
        <w:pStyle w:val="Heading1"/>
        <w:spacing w:before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1.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Satınalmanın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əsası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və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məqsədi</w:t>
      </w:r>
      <w:proofErr w:type="spellEnd"/>
    </w:p>
    <w:p w:rsidR="00E842C4" w:rsidRPr="00A415E5" w:rsidRDefault="00E842C4" w:rsidP="009A6CE5">
      <w:pPr>
        <w:pStyle w:val="NormalWeb"/>
        <w:spacing w:before="0" w:beforeAutospacing="0" w:after="0" w:afterAutospacing="0"/>
        <w:jc w:val="both"/>
        <w:rPr>
          <w:sz w:val="22"/>
        </w:rPr>
      </w:pPr>
      <w:r w:rsidRPr="00A415E5">
        <w:rPr>
          <w:sz w:val="22"/>
        </w:rPr>
        <w:t xml:space="preserve">Bank </w:t>
      </w:r>
      <w:proofErr w:type="spellStart"/>
      <w:r w:rsidRPr="00A415E5">
        <w:rPr>
          <w:sz w:val="22"/>
        </w:rPr>
        <w:t>ödəniş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kartları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üzrə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əməliyyatların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informasiya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təhlükəsizliyi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ilə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bağlı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mövcud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tənzimləyici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tələblərin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icrası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məqsədilə</w:t>
      </w:r>
      <w:proofErr w:type="spellEnd"/>
      <w:r w:rsidRPr="00A415E5">
        <w:rPr>
          <w:sz w:val="22"/>
        </w:rPr>
        <w:t xml:space="preserve"> Kart </w:t>
      </w:r>
      <w:proofErr w:type="spellStart"/>
      <w:r w:rsidRPr="00A415E5">
        <w:rPr>
          <w:sz w:val="22"/>
        </w:rPr>
        <w:t>Məlumatları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Mühiti</w:t>
      </w:r>
      <w:proofErr w:type="spellEnd"/>
      <w:r w:rsidRPr="00A415E5">
        <w:rPr>
          <w:sz w:val="22"/>
        </w:rPr>
        <w:t xml:space="preserve"> (Cardholder Data Environment – CDE)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əlaqəli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ödəniş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infrastrukturu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üzrə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illik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müstəqil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uyğunluq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qiymətləndirilməsinin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aparılması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üçün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ixtisaslaşmış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şirkətləri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tenderdə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iştirak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etməyə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dəvət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edir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9A6CE5">
      <w:pPr>
        <w:pStyle w:val="NormalWeb"/>
        <w:spacing w:before="0" w:beforeAutospacing="0"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Satınalma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fəaliyyət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sahələrini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əhatə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edən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sistem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infrastruktura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şamil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olunur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9A6CE5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ödəniş</w:t>
      </w:r>
      <w:proofErr w:type="spellEnd"/>
      <w:r w:rsidRPr="00A415E5">
        <w:rPr>
          <w:sz w:val="22"/>
        </w:rPr>
        <w:t xml:space="preserve"> kart </w:t>
      </w:r>
      <w:proofErr w:type="spellStart"/>
      <w:r w:rsidRPr="00A415E5">
        <w:rPr>
          <w:sz w:val="22"/>
        </w:rPr>
        <w:t>məlumatlarının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toplanması</w:t>
      </w:r>
      <w:proofErr w:type="spellEnd"/>
      <w:r w:rsidRPr="00A415E5">
        <w:rPr>
          <w:sz w:val="22"/>
        </w:rPr>
        <w:t xml:space="preserve">, </w:t>
      </w:r>
      <w:proofErr w:type="spellStart"/>
      <w:r w:rsidRPr="00A415E5">
        <w:rPr>
          <w:sz w:val="22"/>
        </w:rPr>
        <w:t>emalı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ötürülməsi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1"/>
        </w:numPr>
        <w:jc w:val="both"/>
        <w:rPr>
          <w:sz w:val="22"/>
        </w:rPr>
      </w:pPr>
      <w:r w:rsidRPr="00A415E5">
        <w:rPr>
          <w:sz w:val="22"/>
        </w:rPr>
        <w:t xml:space="preserve">kart </w:t>
      </w:r>
      <w:proofErr w:type="spellStart"/>
      <w:r w:rsidRPr="00A415E5">
        <w:rPr>
          <w:sz w:val="22"/>
        </w:rPr>
        <w:t>emissiyası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ekvayrinq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fəaliyyəti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9A6CE5">
      <w:pPr>
        <w:pStyle w:val="NormalWeb"/>
        <w:numPr>
          <w:ilvl w:val="0"/>
          <w:numId w:val="21"/>
        </w:numPr>
        <w:spacing w:after="0" w:afterAutospacing="0"/>
        <w:jc w:val="both"/>
        <w:rPr>
          <w:sz w:val="22"/>
        </w:rPr>
      </w:pPr>
      <w:r w:rsidRPr="00A415E5">
        <w:rPr>
          <w:sz w:val="22"/>
        </w:rPr>
        <w:t xml:space="preserve">kart </w:t>
      </w:r>
      <w:proofErr w:type="spellStart"/>
      <w:r w:rsidRPr="00A415E5">
        <w:rPr>
          <w:sz w:val="22"/>
        </w:rPr>
        <w:t>əməliyyatlarının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icrası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zamanı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istifadə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olunan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informasiya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sistemləri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texnoloji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infrastruktur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NormalWeb"/>
        <w:jc w:val="both"/>
        <w:rPr>
          <w:sz w:val="22"/>
        </w:rPr>
      </w:pPr>
      <w:proofErr w:type="spellStart"/>
      <w:r w:rsidRPr="00A415E5">
        <w:rPr>
          <w:sz w:val="22"/>
        </w:rPr>
        <w:t>Qiymətləndirmə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nəticəsində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hazırlanacaq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sənədlər</w:t>
      </w:r>
      <w:proofErr w:type="spellEnd"/>
      <w:r w:rsidRPr="00A415E5">
        <w:rPr>
          <w:sz w:val="22"/>
        </w:rPr>
        <w:t xml:space="preserve"> Bank </w:t>
      </w:r>
      <w:proofErr w:type="spellStart"/>
      <w:r w:rsidRPr="00A415E5">
        <w:rPr>
          <w:sz w:val="22"/>
        </w:rPr>
        <w:t>tərəfindən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zərurət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yarandığı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halda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Mərkəzi</w:t>
      </w:r>
      <w:proofErr w:type="spellEnd"/>
      <w:r w:rsidRPr="00A415E5">
        <w:rPr>
          <w:rStyle w:val="Strong"/>
          <w:b w:val="0"/>
          <w:sz w:val="22"/>
        </w:rPr>
        <w:t xml:space="preserve"> Banka </w:t>
      </w:r>
      <w:proofErr w:type="spellStart"/>
      <w:r w:rsidRPr="00A415E5">
        <w:rPr>
          <w:rStyle w:val="Strong"/>
          <w:b w:val="0"/>
          <w:sz w:val="22"/>
        </w:rPr>
        <w:t>təqdim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edilə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biləcək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və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tənzimləyici</w:t>
      </w:r>
      <w:proofErr w:type="spellEnd"/>
      <w:r w:rsidRPr="00A415E5">
        <w:rPr>
          <w:rStyle w:val="Strong"/>
          <w:b w:val="0"/>
          <w:sz w:val="22"/>
        </w:rPr>
        <w:t xml:space="preserve"> audit </w:t>
      </w:r>
      <w:proofErr w:type="spellStart"/>
      <w:r w:rsidRPr="00A415E5">
        <w:rPr>
          <w:rStyle w:val="Strong"/>
          <w:b w:val="0"/>
          <w:sz w:val="22"/>
        </w:rPr>
        <w:t>yoxlamalarına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davamlı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olmalıdır</w:t>
      </w:r>
      <w:proofErr w:type="spellEnd"/>
      <w:r w:rsidRPr="00A415E5">
        <w:rPr>
          <w:rStyle w:val="Strong"/>
          <w:b w:val="0"/>
          <w:sz w:val="22"/>
        </w:rPr>
        <w:t>.</w:t>
      </w:r>
    </w:p>
    <w:p w:rsidR="00E842C4" w:rsidRPr="00A415E5" w:rsidRDefault="00E842C4" w:rsidP="00E842C4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4"/>
          <w:lang w:val="en-US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2.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Tənzimləyici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baza</w:t>
      </w:r>
      <w:bookmarkStart w:id="0" w:name="_GoBack"/>
      <w:bookmarkEnd w:id="0"/>
      <w:proofErr w:type="spellEnd"/>
    </w:p>
    <w:p w:rsidR="00E842C4" w:rsidRPr="00A415E5" w:rsidRDefault="00E842C4" w:rsidP="009A6CE5">
      <w:pPr>
        <w:pStyle w:val="NormalWeb"/>
        <w:spacing w:before="0" w:beforeAutospacing="0"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Qiymətləndirmə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normativ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metodoloji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çərçivələrə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uyğun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şəkildə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aparılmalıdır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E842C4">
      <w:pPr>
        <w:pStyle w:val="NormalWeb"/>
        <w:numPr>
          <w:ilvl w:val="0"/>
          <w:numId w:val="22"/>
        </w:numPr>
        <w:jc w:val="both"/>
        <w:rPr>
          <w:sz w:val="22"/>
        </w:rPr>
      </w:pPr>
      <w:proofErr w:type="spellStart"/>
      <w:r w:rsidRPr="00A415E5">
        <w:rPr>
          <w:sz w:val="22"/>
        </w:rPr>
        <w:t>Azərbaycan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Respublikasının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Mərkəzi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Bankının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normativ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aktları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nəzarət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tələbləri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2"/>
        </w:numPr>
        <w:jc w:val="both"/>
        <w:rPr>
          <w:sz w:val="22"/>
        </w:rPr>
      </w:pPr>
      <w:proofErr w:type="spellStart"/>
      <w:r w:rsidRPr="00A415E5">
        <w:rPr>
          <w:sz w:val="22"/>
        </w:rPr>
        <w:t>informasiya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təhlükəsizliyi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məlumatların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qorunması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üzrə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yerli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qanunvericilik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2"/>
        </w:numPr>
        <w:jc w:val="both"/>
        <w:rPr>
          <w:sz w:val="22"/>
        </w:rPr>
      </w:pPr>
      <w:proofErr w:type="spellStart"/>
      <w:r w:rsidRPr="00A415E5">
        <w:rPr>
          <w:sz w:val="22"/>
        </w:rPr>
        <w:t>ən</w:t>
      </w:r>
      <w:proofErr w:type="spellEnd"/>
      <w:r w:rsidRPr="00A415E5">
        <w:rPr>
          <w:sz w:val="22"/>
        </w:rPr>
        <w:t xml:space="preserve"> son </w:t>
      </w:r>
      <w:r w:rsidR="006468A6" w:rsidRPr="006468A6">
        <w:rPr>
          <w:sz w:val="22"/>
        </w:rPr>
        <w:t>“</w:t>
      </w:r>
      <w:proofErr w:type="spellStart"/>
      <w:r w:rsidR="006468A6" w:rsidRPr="006468A6">
        <w:rPr>
          <w:sz w:val="22"/>
        </w:rPr>
        <w:t>Ödəniş</w:t>
      </w:r>
      <w:proofErr w:type="spellEnd"/>
      <w:r w:rsidR="006468A6" w:rsidRPr="006468A6">
        <w:rPr>
          <w:sz w:val="22"/>
        </w:rPr>
        <w:t xml:space="preserve"> </w:t>
      </w:r>
      <w:proofErr w:type="spellStart"/>
      <w:r w:rsidR="006468A6" w:rsidRPr="006468A6">
        <w:rPr>
          <w:sz w:val="22"/>
        </w:rPr>
        <w:t>Kartları</w:t>
      </w:r>
      <w:proofErr w:type="spellEnd"/>
      <w:r w:rsidR="006468A6" w:rsidRPr="006468A6">
        <w:rPr>
          <w:sz w:val="22"/>
        </w:rPr>
        <w:t xml:space="preserve"> </w:t>
      </w:r>
      <w:proofErr w:type="spellStart"/>
      <w:r w:rsidR="006468A6" w:rsidRPr="006468A6">
        <w:rPr>
          <w:sz w:val="22"/>
        </w:rPr>
        <w:t>Sənayesində</w:t>
      </w:r>
      <w:proofErr w:type="spellEnd"/>
      <w:r w:rsidR="006468A6" w:rsidRPr="006468A6">
        <w:rPr>
          <w:sz w:val="22"/>
        </w:rPr>
        <w:t xml:space="preserve"> </w:t>
      </w:r>
      <w:proofErr w:type="spellStart"/>
      <w:r w:rsidR="006468A6" w:rsidRPr="006468A6">
        <w:rPr>
          <w:sz w:val="22"/>
        </w:rPr>
        <w:t>Məlumat</w:t>
      </w:r>
      <w:proofErr w:type="spellEnd"/>
      <w:r w:rsidR="006468A6" w:rsidRPr="006468A6">
        <w:rPr>
          <w:sz w:val="22"/>
        </w:rPr>
        <w:t xml:space="preserve"> </w:t>
      </w:r>
      <w:proofErr w:type="spellStart"/>
      <w:r w:rsidR="006468A6" w:rsidRPr="006468A6">
        <w:rPr>
          <w:sz w:val="22"/>
        </w:rPr>
        <w:t>Təhlükəsizliyi</w:t>
      </w:r>
      <w:proofErr w:type="spellEnd"/>
      <w:r w:rsidR="006468A6" w:rsidRPr="006468A6">
        <w:rPr>
          <w:sz w:val="22"/>
        </w:rPr>
        <w:t xml:space="preserve"> </w:t>
      </w:r>
      <w:proofErr w:type="spellStart"/>
      <w:r w:rsidR="006468A6" w:rsidRPr="006468A6">
        <w:rPr>
          <w:sz w:val="22"/>
        </w:rPr>
        <w:t>Standartı</w:t>
      </w:r>
      <w:proofErr w:type="spellEnd"/>
      <w:r w:rsidR="006468A6" w:rsidRPr="006468A6">
        <w:rPr>
          <w:sz w:val="22"/>
        </w:rPr>
        <w:t xml:space="preserve">” (Payment Card Industry Data Security Standard, </w:t>
      </w:r>
      <w:proofErr w:type="spellStart"/>
      <w:r w:rsidR="006468A6" w:rsidRPr="006468A6">
        <w:rPr>
          <w:sz w:val="22"/>
        </w:rPr>
        <w:t>bundan</w:t>
      </w:r>
      <w:proofErr w:type="spellEnd"/>
      <w:r w:rsidR="006468A6" w:rsidRPr="006468A6">
        <w:rPr>
          <w:sz w:val="22"/>
        </w:rPr>
        <w:t xml:space="preserve"> </w:t>
      </w:r>
      <w:proofErr w:type="spellStart"/>
      <w:r w:rsidR="006468A6" w:rsidRPr="006468A6">
        <w:rPr>
          <w:sz w:val="22"/>
        </w:rPr>
        <w:t>sonra</w:t>
      </w:r>
      <w:proofErr w:type="spellEnd"/>
      <w:r w:rsidR="006468A6" w:rsidRPr="006468A6">
        <w:rPr>
          <w:sz w:val="22"/>
        </w:rPr>
        <w:t xml:space="preserve"> PCI-DSS) </w:t>
      </w:r>
      <w:proofErr w:type="spellStart"/>
      <w:r w:rsidRPr="00A415E5">
        <w:rPr>
          <w:sz w:val="22"/>
        </w:rPr>
        <w:t>standartının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tələbləri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2"/>
        </w:numPr>
        <w:jc w:val="both"/>
        <w:rPr>
          <w:sz w:val="22"/>
        </w:rPr>
      </w:pPr>
      <w:r w:rsidRPr="00A415E5">
        <w:rPr>
          <w:rStyle w:val="Strong"/>
          <w:b w:val="0"/>
          <w:sz w:val="22"/>
        </w:rPr>
        <w:t xml:space="preserve">Report on Compliance (ROC) Reporting Template </w:t>
      </w:r>
      <w:proofErr w:type="spellStart"/>
      <w:r w:rsidRPr="00A415E5">
        <w:rPr>
          <w:rStyle w:val="Strong"/>
          <w:b w:val="0"/>
          <w:sz w:val="22"/>
        </w:rPr>
        <w:t>və</w:t>
      </w:r>
      <w:proofErr w:type="spellEnd"/>
      <w:r w:rsidRPr="00A415E5">
        <w:rPr>
          <w:rStyle w:val="Strong"/>
          <w:b w:val="0"/>
          <w:sz w:val="22"/>
        </w:rPr>
        <w:t xml:space="preserve"> ROC Instructions;</w:t>
      </w:r>
    </w:p>
    <w:p w:rsidR="00E842C4" w:rsidRPr="00A415E5" w:rsidRDefault="00E842C4" w:rsidP="00E842C4">
      <w:pPr>
        <w:pStyle w:val="NormalWeb"/>
        <w:numPr>
          <w:ilvl w:val="0"/>
          <w:numId w:val="22"/>
        </w:numPr>
        <w:jc w:val="both"/>
        <w:rPr>
          <w:sz w:val="22"/>
        </w:rPr>
      </w:pPr>
      <w:r w:rsidRPr="00A415E5">
        <w:rPr>
          <w:rStyle w:val="Strong"/>
          <w:b w:val="0"/>
          <w:sz w:val="22"/>
        </w:rPr>
        <w:t xml:space="preserve">Attestation of Compliance (AOC) </w:t>
      </w:r>
      <w:proofErr w:type="spellStart"/>
      <w:r w:rsidRPr="00A415E5">
        <w:rPr>
          <w:rStyle w:val="Strong"/>
          <w:b w:val="0"/>
          <w:sz w:val="22"/>
        </w:rPr>
        <w:t>formaları</w:t>
      </w:r>
      <w:proofErr w:type="spellEnd"/>
      <w:r w:rsidRPr="00A415E5">
        <w:rPr>
          <w:rStyle w:val="Strong"/>
          <w:b w:val="0"/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2"/>
        </w:numPr>
        <w:jc w:val="both"/>
        <w:rPr>
          <w:sz w:val="22"/>
        </w:rPr>
      </w:pPr>
      <w:r w:rsidRPr="00A415E5">
        <w:rPr>
          <w:rStyle w:val="Strong"/>
          <w:b w:val="0"/>
          <w:sz w:val="22"/>
        </w:rPr>
        <w:t>PCI SSC QSA Program Guide;</w:t>
      </w:r>
    </w:p>
    <w:p w:rsidR="00E842C4" w:rsidRPr="00A415E5" w:rsidRDefault="00E842C4" w:rsidP="00E842C4">
      <w:pPr>
        <w:pStyle w:val="NormalWeb"/>
        <w:numPr>
          <w:ilvl w:val="0"/>
          <w:numId w:val="22"/>
        </w:numPr>
        <w:jc w:val="both"/>
        <w:rPr>
          <w:sz w:val="22"/>
        </w:rPr>
      </w:pPr>
      <w:r w:rsidRPr="00A415E5">
        <w:rPr>
          <w:sz w:val="22"/>
        </w:rPr>
        <w:t xml:space="preserve">PCI Security Standards Council </w:t>
      </w:r>
      <w:proofErr w:type="spellStart"/>
      <w:r w:rsidRPr="00A415E5">
        <w:rPr>
          <w:sz w:val="22"/>
        </w:rPr>
        <w:t>tərəfindən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dərc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edilmiş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digər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məcburi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tətbiq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olunan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normativ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sənədlər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NormalWeb"/>
        <w:jc w:val="both"/>
        <w:rPr>
          <w:sz w:val="22"/>
        </w:rPr>
      </w:pPr>
      <w:proofErr w:type="spellStart"/>
      <w:r w:rsidRPr="00A415E5">
        <w:rPr>
          <w:sz w:val="22"/>
        </w:rPr>
        <w:t>Hazırlanacaq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bütün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sənədlər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qiymətləndirmə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nəticələri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həm</w:t>
      </w:r>
      <w:proofErr w:type="spellEnd"/>
      <w:r w:rsidRPr="00A415E5">
        <w:rPr>
          <w:sz w:val="22"/>
        </w:rPr>
        <w:t xml:space="preserve"> PCI SSC </w:t>
      </w:r>
      <w:proofErr w:type="spellStart"/>
      <w:r w:rsidRPr="00A415E5">
        <w:rPr>
          <w:sz w:val="22"/>
        </w:rPr>
        <w:t>tələblərinə</w:t>
      </w:r>
      <w:proofErr w:type="spellEnd"/>
      <w:r w:rsidRPr="00A415E5">
        <w:rPr>
          <w:sz w:val="22"/>
        </w:rPr>
        <w:t xml:space="preserve">, </w:t>
      </w:r>
      <w:proofErr w:type="spellStart"/>
      <w:r w:rsidRPr="00A415E5">
        <w:rPr>
          <w:sz w:val="22"/>
        </w:rPr>
        <w:t>həm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tənzimləyici</w:t>
      </w:r>
      <w:proofErr w:type="spellEnd"/>
      <w:r w:rsidRPr="00A415E5">
        <w:rPr>
          <w:sz w:val="22"/>
        </w:rPr>
        <w:t xml:space="preserve"> audit </w:t>
      </w:r>
      <w:proofErr w:type="spellStart"/>
      <w:r w:rsidRPr="00A415E5">
        <w:rPr>
          <w:sz w:val="22"/>
        </w:rPr>
        <w:t>yoxlamalarına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uyğun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şəkildə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hazırlanmalı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rəsmi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təqdimat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üçün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yararlı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formatda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təqdim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edilməlidir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3.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İşlərin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əhatə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dairəsi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(Scope)</w:t>
      </w:r>
    </w:p>
    <w:p w:rsidR="00E842C4" w:rsidRPr="00A415E5" w:rsidRDefault="00E842C4" w:rsidP="009A6CE5">
      <w:pPr>
        <w:pStyle w:val="Heading2"/>
        <w:spacing w:before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3.1 Scope-a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daxil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olan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işlər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Təchizatçı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fəaliyyətləri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həyata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keçirməlidir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9A6CE5">
      <w:pPr>
        <w:pStyle w:val="NormalWeb"/>
        <w:numPr>
          <w:ilvl w:val="0"/>
          <w:numId w:val="23"/>
        </w:numPr>
        <w:spacing w:before="0" w:beforeAutospacing="0"/>
        <w:jc w:val="both"/>
        <w:rPr>
          <w:sz w:val="22"/>
        </w:rPr>
      </w:pPr>
      <w:r w:rsidRPr="00A415E5">
        <w:rPr>
          <w:sz w:val="22"/>
        </w:rPr>
        <w:t xml:space="preserve">PCI DSS </w:t>
      </w:r>
      <w:proofErr w:type="spellStart"/>
      <w:r w:rsidRPr="00A415E5">
        <w:rPr>
          <w:sz w:val="22"/>
        </w:rPr>
        <w:t>auditinin</w:t>
      </w:r>
      <w:proofErr w:type="spellEnd"/>
      <w:r w:rsidRPr="00A415E5">
        <w:rPr>
          <w:sz w:val="22"/>
        </w:rPr>
        <w:t xml:space="preserve"> scope-</w:t>
      </w:r>
      <w:proofErr w:type="spellStart"/>
      <w:r w:rsidRPr="00A415E5">
        <w:rPr>
          <w:sz w:val="22"/>
        </w:rPr>
        <w:t>unun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müəyyənləşdirilməsi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təsdiqi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3"/>
        </w:numPr>
        <w:jc w:val="both"/>
        <w:rPr>
          <w:sz w:val="22"/>
        </w:rPr>
      </w:pPr>
      <w:proofErr w:type="spellStart"/>
      <w:r w:rsidRPr="00A415E5">
        <w:rPr>
          <w:sz w:val="22"/>
        </w:rPr>
        <w:t>şəbəkə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seqmentasiyasının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yoxlanılması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3"/>
        </w:numPr>
        <w:jc w:val="both"/>
        <w:rPr>
          <w:sz w:val="22"/>
        </w:rPr>
      </w:pPr>
      <w:r w:rsidRPr="00A415E5">
        <w:rPr>
          <w:sz w:val="22"/>
        </w:rPr>
        <w:t xml:space="preserve">kart </w:t>
      </w:r>
      <w:proofErr w:type="spellStart"/>
      <w:r w:rsidRPr="00A415E5">
        <w:rPr>
          <w:sz w:val="22"/>
        </w:rPr>
        <w:t>məlumat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axınlarının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təhlili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3"/>
        </w:numPr>
        <w:jc w:val="both"/>
        <w:rPr>
          <w:sz w:val="22"/>
        </w:rPr>
      </w:pPr>
      <w:proofErr w:type="spellStart"/>
      <w:r w:rsidRPr="00A415E5">
        <w:rPr>
          <w:sz w:val="22"/>
        </w:rPr>
        <w:t>giriş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nəzarət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mexanizmlərinin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qiymətləndirilməsi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3"/>
        </w:numPr>
        <w:jc w:val="both"/>
        <w:rPr>
          <w:sz w:val="22"/>
        </w:rPr>
      </w:pPr>
      <w:proofErr w:type="spellStart"/>
      <w:r w:rsidRPr="00A415E5">
        <w:rPr>
          <w:sz w:val="22"/>
        </w:rPr>
        <w:t>zəifliklərin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idarə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olunması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prosesinin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yoxlanılması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3"/>
        </w:numPr>
        <w:jc w:val="both"/>
        <w:rPr>
          <w:sz w:val="22"/>
        </w:rPr>
      </w:pPr>
      <w:proofErr w:type="spellStart"/>
      <w:r w:rsidRPr="00A415E5">
        <w:rPr>
          <w:sz w:val="22"/>
        </w:rPr>
        <w:t>jurnallaşdırma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monitorinq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mexanizmlərinin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qiymətləndirilməsi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3"/>
        </w:numPr>
        <w:jc w:val="both"/>
        <w:rPr>
          <w:sz w:val="22"/>
        </w:rPr>
      </w:pPr>
      <w:proofErr w:type="spellStart"/>
      <w:r w:rsidRPr="00A415E5">
        <w:rPr>
          <w:sz w:val="22"/>
        </w:rPr>
        <w:t>insidentlərə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reaksiya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prosesinin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qiymətləndirilməsi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3"/>
        </w:numPr>
        <w:jc w:val="both"/>
        <w:rPr>
          <w:sz w:val="22"/>
        </w:rPr>
      </w:pPr>
      <w:proofErr w:type="spellStart"/>
      <w:r w:rsidRPr="00A415E5">
        <w:rPr>
          <w:sz w:val="22"/>
        </w:rPr>
        <w:lastRenderedPageBreak/>
        <w:t>üçüncü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tərəflərlə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bağlı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nəzarət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mexanizmlərinin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qiymətləndirilməsi</w:t>
      </w:r>
      <w:proofErr w:type="spellEnd"/>
      <w:r w:rsidRPr="00A415E5">
        <w:rPr>
          <w:sz w:val="22"/>
        </w:rPr>
        <w:t>;</w:t>
      </w:r>
    </w:p>
    <w:p w:rsidR="00E842C4" w:rsidRPr="00A415E5" w:rsidRDefault="009A6CE5" w:rsidP="00E842C4">
      <w:pPr>
        <w:pStyle w:val="NormalWeb"/>
        <w:numPr>
          <w:ilvl w:val="0"/>
          <w:numId w:val="23"/>
        </w:numPr>
        <w:jc w:val="both"/>
        <w:rPr>
          <w:sz w:val="22"/>
        </w:rPr>
      </w:pPr>
      <w:r w:rsidRPr="00A415E5">
        <w:rPr>
          <w:sz w:val="22"/>
          <w:lang w:val="az-Latn-AZ"/>
        </w:rPr>
        <w:t xml:space="preserve">Ən son </w:t>
      </w:r>
      <w:r w:rsidR="00E842C4" w:rsidRPr="00A415E5">
        <w:rPr>
          <w:sz w:val="22"/>
        </w:rPr>
        <w:t xml:space="preserve">PCI DSS </w:t>
      </w:r>
      <w:proofErr w:type="spellStart"/>
      <w:r w:rsidR="00E842C4" w:rsidRPr="00A415E5">
        <w:rPr>
          <w:sz w:val="22"/>
        </w:rPr>
        <w:t>tələblərinə</w:t>
      </w:r>
      <w:proofErr w:type="spellEnd"/>
      <w:r w:rsidR="00E842C4" w:rsidRPr="00A415E5">
        <w:rPr>
          <w:sz w:val="22"/>
        </w:rPr>
        <w:t xml:space="preserve"> </w:t>
      </w:r>
      <w:proofErr w:type="spellStart"/>
      <w:r w:rsidR="00E842C4" w:rsidRPr="00A415E5">
        <w:rPr>
          <w:sz w:val="22"/>
        </w:rPr>
        <w:t>uyğunluğun</w:t>
      </w:r>
      <w:proofErr w:type="spellEnd"/>
      <w:r w:rsidR="00E842C4" w:rsidRPr="00A415E5">
        <w:rPr>
          <w:sz w:val="22"/>
        </w:rPr>
        <w:t xml:space="preserve"> </w:t>
      </w:r>
      <w:proofErr w:type="spellStart"/>
      <w:r w:rsidR="00E842C4" w:rsidRPr="00A415E5">
        <w:rPr>
          <w:sz w:val="22"/>
        </w:rPr>
        <w:t>sənəd</w:t>
      </w:r>
      <w:proofErr w:type="spellEnd"/>
      <w:r w:rsidR="00E842C4" w:rsidRPr="00A415E5">
        <w:rPr>
          <w:sz w:val="22"/>
        </w:rPr>
        <w:t xml:space="preserve"> </w:t>
      </w:r>
      <w:proofErr w:type="spellStart"/>
      <w:r w:rsidR="00E842C4" w:rsidRPr="00A415E5">
        <w:rPr>
          <w:sz w:val="22"/>
        </w:rPr>
        <w:t>əsaslı</w:t>
      </w:r>
      <w:proofErr w:type="spellEnd"/>
      <w:r w:rsidR="00E842C4" w:rsidRPr="00A415E5">
        <w:rPr>
          <w:sz w:val="22"/>
        </w:rPr>
        <w:t xml:space="preserve"> </w:t>
      </w:r>
      <w:proofErr w:type="spellStart"/>
      <w:r w:rsidR="00E842C4" w:rsidRPr="00A415E5">
        <w:rPr>
          <w:sz w:val="22"/>
        </w:rPr>
        <w:t>yoxlanılması</w:t>
      </w:r>
      <w:proofErr w:type="spellEnd"/>
      <w:r w:rsidR="00E842C4" w:rsidRPr="00A415E5">
        <w:rPr>
          <w:sz w:val="22"/>
        </w:rPr>
        <w:t>.</w:t>
      </w:r>
    </w:p>
    <w:p w:rsidR="00E842C4" w:rsidRPr="00A415E5" w:rsidRDefault="00E842C4" w:rsidP="00E842C4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3.2 Scope-a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daxil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olmayan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işlər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r w:rsidRPr="00A415E5">
        <w:rPr>
          <w:sz w:val="22"/>
        </w:rPr>
        <w:t xml:space="preserve">Bu tender </w:t>
      </w:r>
      <w:proofErr w:type="spellStart"/>
      <w:r w:rsidRPr="00A415E5">
        <w:rPr>
          <w:sz w:val="22"/>
        </w:rPr>
        <w:t>çərçivəsində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işlər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tələb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olunmur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scope-a </w:t>
      </w:r>
      <w:proofErr w:type="spellStart"/>
      <w:r w:rsidRPr="00A415E5">
        <w:rPr>
          <w:sz w:val="22"/>
        </w:rPr>
        <w:t>daxil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edilmir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E842C4">
      <w:pPr>
        <w:pStyle w:val="NormalWeb"/>
        <w:numPr>
          <w:ilvl w:val="0"/>
          <w:numId w:val="24"/>
        </w:numPr>
        <w:jc w:val="both"/>
        <w:rPr>
          <w:sz w:val="22"/>
        </w:rPr>
      </w:pPr>
      <w:r w:rsidRPr="00A415E5">
        <w:rPr>
          <w:rStyle w:val="Strong"/>
          <w:b w:val="0"/>
          <w:sz w:val="22"/>
        </w:rPr>
        <w:t xml:space="preserve">ASV </w:t>
      </w:r>
      <w:proofErr w:type="spellStart"/>
      <w:r w:rsidRPr="00A415E5">
        <w:rPr>
          <w:rStyle w:val="Strong"/>
          <w:b w:val="0"/>
          <w:sz w:val="22"/>
        </w:rPr>
        <w:t>skanların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aparılması</w:t>
      </w:r>
      <w:proofErr w:type="spellEnd"/>
      <w:r w:rsidRPr="00A415E5">
        <w:rPr>
          <w:rStyle w:val="Strong"/>
          <w:b w:val="0"/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4"/>
        </w:numPr>
        <w:jc w:val="both"/>
        <w:rPr>
          <w:sz w:val="22"/>
        </w:rPr>
      </w:pPr>
      <w:proofErr w:type="spellStart"/>
      <w:r w:rsidRPr="00A415E5">
        <w:rPr>
          <w:rStyle w:val="Strong"/>
          <w:b w:val="0"/>
          <w:sz w:val="22"/>
        </w:rPr>
        <w:t>xarici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və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daxili</w:t>
      </w:r>
      <w:proofErr w:type="spellEnd"/>
      <w:r w:rsidRPr="00A415E5">
        <w:rPr>
          <w:rStyle w:val="Strong"/>
          <w:b w:val="0"/>
          <w:sz w:val="22"/>
        </w:rPr>
        <w:t xml:space="preserve"> penetration testing.</w:t>
      </w:r>
    </w:p>
    <w:p w:rsidR="00E842C4" w:rsidRPr="00A415E5" w:rsidRDefault="00E842C4" w:rsidP="00E842C4">
      <w:pPr>
        <w:pStyle w:val="NormalWeb"/>
        <w:jc w:val="both"/>
        <w:rPr>
          <w:sz w:val="22"/>
        </w:rPr>
      </w:pPr>
      <w:proofErr w:type="spellStart"/>
      <w:r w:rsidRPr="00A415E5">
        <w:rPr>
          <w:sz w:val="22"/>
        </w:rPr>
        <w:t>Təchizatçının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metodologiyasında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bu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fəaliyyətlər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nəzərdə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tutulduğu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halda</w:t>
      </w:r>
      <w:proofErr w:type="spellEnd"/>
      <w:r w:rsidRPr="00A415E5">
        <w:rPr>
          <w:sz w:val="22"/>
        </w:rPr>
        <w:t xml:space="preserve">, </w:t>
      </w:r>
      <w:proofErr w:type="spellStart"/>
      <w:r w:rsidRPr="00A415E5">
        <w:rPr>
          <w:sz w:val="22"/>
        </w:rPr>
        <w:t>onlar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kommersiya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təklifinə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daxil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edilməməlidir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4.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Məcburi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təqdim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ediləcək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sənədlər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(Deliverables)</w:t>
      </w:r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Təchizatçı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sənədləri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təqdim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etməlidir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9A6CE5">
      <w:pPr>
        <w:pStyle w:val="NormalWeb"/>
        <w:numPr>
          <w:ilvl w:val="0"/>
          <w:numId w:val="25"/>
        </w:numPr>
        <w:spacing w:before="0" w:beforeAutospacing="0"/>
        <w:jc w:val="both"/>
        <w:rPr>
          <w:sz w:val="22"/>
        </w:rPr>
      </w:pPr>
      <w:r w:rsidRPr="00A415E5">
        <w:rPr>
          <w:sz w:val="22"/>
        </w:rPr>
        <w:t xml:space="preserve">PCI SSC </w:t>
      </w:r>
      <w:proofErr w:type="spellStart"/>
      <w:r w:rsidRPr="00A415E5">
        <w:rPr>
          <w:sz w:val="22"/>
        </w:rPr>
        <w:t>tərəfindən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müəyyən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edilmiş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rəsmi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formatda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hazırlanmış</w:t>
      </w:r>
      <w:proofErr w:type="spellEnd"/>
      <w:r w:rsidRPr="00A415E5">
        <w:rPr>
          <w:sz w:val="22"/>
        </w:rPr>
        <w:t xml:space="preserve"> </w:t>
      </w:r>
      <w:r w:rsidRPr="00A415E5">
        <w:rPr>
          <w:rStyle w:val="Strong"/>
          <w:b w:val="0"/>
          <w:sz w:val="22"/>
        </w:rPr>
        <w:t>Report on Compliance (ROC);</w:t>
      </w:r>
    </w:p>
    <w:p w:rsidR="00E842C4" w:rsidRPr="00A415E5" w:rsidRDefault="00E842C4" w:rsidP="00E842C4">
      <w:pPr>
        <w:pStyle w:val="NormalWeb"/>
        <w:numPr>
          <w:ilvl w:val="0"/>
          <w:numId w:val="25"/>
        </w:numPr>
        <w:jc w:val="both"/>
        <w:rPr>
          <w:sz w:val="22"/>
        </w:rPr>
      </w:pPr>
      <w:proofErr w:type="spellStart"/>
      <w:r w:rsidRPr="00A415E5">
        <w:rPr>
          <w:sz w:val="22"/>
        </w:rPr>
        <w:t>səlahiyyətli</w:t>
      </w:r>
      <w:proofErr w:type="spellEnd"/>
      <w:r w:rsidRPr="00A415E5">
        <w:rPr>
          <w:sz w:val="22"/>
        </w:rPr>
        <w:t xml:space="preserve"> QSA </w:t>
      </w:r>
      <w:proofErr w:type="spellStart"/>
      <w:r w:rsidRPr="00A415E5">
        <w:rPr>
          <w:sz w:val="22"/>
        </w:rPr>
        <w:t>tərəfindən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imzalanmış</w:t>
      </w:r>
      <w:proofErr w:type="spellEnd"/>
      <w:r w:rsidRPr="00A415E5">
        <w:rPr>
          <w:sz w:val="22"/>
        </w:rPr>
        <w:t xml:space="preserve"> </w:t>
      </w:r>
      <w:r w:rsidRPr="00A415E5">
        <w:rPr>
          <w:rStyle w:val="Strong"/>
          <w:b w:val="0"/>
          <w:sz w:val="22"/>
        </w:rPr>
        <w:t>Attestation of Compliance (AOC);</w:t>
      </w:r>
    </w:p>
    <w:p w:rsidR="00E842C4" w:rsidRPr="00A415E5" w:rsidRDefault="00E842C4" w:rsidP="00E842C4">
      <w:pPr>
        <w:pStyle w:val="NormalWeb"/>
        <w:numPr>
          <w:ilvl w:val="0"/>
          <w:numId w:val="25"/>
        </w:numPr>
        <w:jc w:val="both"/>
        <w:rPr>
          <w:sz w:val="22"/>
        </w:rPr>
      </w:pPr>
      <w:r w:rsidRPr="00A415E5">
        <w:rPr>
          <w:sz w:val="22"/>
        </w:rPr>
        <w:t xml:space="preserve">Bank </w:t>
      </w:r>
      <w:proofErr w:type="spellStart"/>
      <w:r w:rsidRPr="00A415E5">
        <w:rPr>
          <w:sz w:val="22"/>
        </w:rPr>
        <w:t>rəhbərliyi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üçün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icmal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hesabat</w:t>
      </w:r>
      <w:proofErr w:type="spellEnd"/>
      <w:r w:rsidRPr="00A415E5">
        <w:rPr>
          <w:rStyle w:val="Strong"/>
          <w:b w:val="0"/>
          <w:sz w:val="22"/>
        </w:rPr>
        <w:t xml:space="preserve"> (Executive Summary);</w:t>
      </w:r>
    </w:p>
    <w:p w:rsidR="00E842C4" w:rsidRPr="00A415E5" w:rsidRDefault="00E842C4" w:rsidP="00E842C4">
      <w:pPr>
        <w:pStyle w:val="NormalWeb"/>
        <w:numPr>
          <w:ilvl w:val="0"/>
          <w:numId w:val="25"/>
        </w:numPr>
        <w:jc w:val="both"/>
        <w:rPr>
          <w:sz w:val="22"/>
        </w:rPr>
      </w:pPr>
      <w:proofErr w:type="spellStart"/>
      <w:r w:rsidRPr="00A415E5">
        <w:rPr>
          <w:sz w:val="22"/>
        </w:rPr>
        <w:t>aşkar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edilmiş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uyğunsuzluqların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aradan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qaldırılması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üzrə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tövsiyələr</w:t>
      </w:r>
      <w:proofErr w:type="spellEnd"/>
      <w:r w:rsidRPr="00A415E5">
        <w:rPr>
          <w:sz w:val="22"/>
        </w:rPr>
        <w:t xml:space="preserve"> (</w:t>
      </w:r>
      <w:proofErr w:type="spellStart"/>
      <w:r w:rsidRPr="00A415E5">
        <w:rPr>
          <w:sz w:val="22"/>
        </w:rPr>
        <w:t>əgər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varsa</w:t>
      </w:r>
      <w:proofErr w:type="spellEnd"/>
      <w:r w:rsidRPr="00A415E5">
        <w:rPr>
          <w:sz w:val="22"/>
        </w:rPr>
        <w:t>).</w:t>
      </w:r>
    </w:p>
    <w:p w:rsidR="00E842C4" w:rsidRPr="00A415E5" w:rsidRDefault="00E842C4" w:rsidP="00E842C4">
      <w:pPr>
        <w:pStyle w:val="Heading1"/>
        <w:jc w:val="both"/>
        <w:rPr>
          <w:rFonts w:ascii="Times New Roman" w:hAnsi="Times New Roman" w:cs="Times New Roman"/>
          <w:color w:val="auto"/>
          <w:sz w:val="24"/>
        </w:rPr>
      </w:pPr>
      <w:r w:rsidRPr="00A415E5">
        <w:rPr>
          <w:rFonts w:ascii="Times New Roman" w:hAnsi="Times New Roman" w:cs="Times New Roman"/>
          <w:color w:val="auto"/>
          <w:sz w:val="24"/>
        </w:rPr>
        <w:t xml:space="preserve">5.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İştirakçılara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dair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tələblər</w:t>
      </w:r>
      <w:proofErr w:type="spellEnd"/>
    </w:p>
    <w:p w:rsidR="00E842C4" w:rsidRPr="00A415E5" w:rsidRDefault="00E842C4" w:rsidP="00E842C4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5.1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Akkreditasiya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İştirakçı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E842C4">
      <w:pPr>
        <w:pStyle w:val="NormalWeb"/>
        <w:numPr>
          <w:ilvl w:val="0"/>
          <w:numId w:val="26"/>
        </w:numPr>
        <w:jc w:val="both"/>
        <w:rPr>
          <w:sz w:val="22"/>
        </w:rPr>
      </w:pPr>
      <w:r w:rsidRPr="00A415E5">
        <w:rPr>
          <w:sz w:val="22"/>
        </w:rPr>
        <w:t xml:space="preserve">PCI SSC </w:t>
      </w:r>
      <w:proofErr w:type="spellStart"/>
      <w:r w:rsidRPr="00A415E5">
        <w:rPr>
          <w:sz w:val="22"/>
        </w:rPr>
        <w:t>tərəfindən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tanınmış</w:t>
      </w:r>
      <w:proofErr w:type="spellEnd"/>
      <w:r w:rsidRPr="00A415E5">
        <w:rPr>
          <w:sz w:val="22"/>
        </w:rPr>
        <w:t xml:space="preserve"> </w:t>
      </w:r>
      <w:r w:rsidRPr="00A415E5">
        <w:rPr>
          <w:rStyle w:val="Strong"/>
          <w:b w:val="0"/>
          <w:sz w:val="22"/>
        </w:rPr>
        <w:t>Qualified Security Assessor (QSA)</w:t>
      </w:r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şirkəti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olmalıdır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6"/>
        </w:numPr>
        <w:jc w:val="both"/>
        <w:rPr>
          <w:sz w:val="22"/>
        </w:rPr>
      </w:pPr>
      <w:proofErr w:type="spellStart"/>
      <w:r w:rsidRPr="00A415E5">
        <w:rPr>
          <w:sz w:val="22"/>
        </w:rPr>
        <w:t>layihə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müddətində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qüvvədə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olan</w:t>
      </w:r>
      <w:proofErr w:type="spellEnd"/>
      <w:r w:rsidRPr="00A415E5">
        <w:rPr>
          <w:sz w:val="22"/>
        </w:rPr>
        <w:t xml:space="preserve"> QSA </w:t>
      </w:r>
      <w:proofErr w:type="spellStart"/>
      <w:r w:rsidRPr="00A415E5">
        <w:rPr>
          <w:sz w:val="22"/>
        </w:rPr>
        <w:t>statusuna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malik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olmalıdır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5.2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Təcrübə</w:t>
      </w:r>
      <w:proofErr w:type="spellEnd"/>
    </w:p>
    <w:p w:rsidR="00E842C4" w:rsidRPr="00A415E5" w:rsidRDefault="00E842C4" w:rsidP="00E842C4">
      <w:pPr>
        <w:pStyle w:val="NormalWeb"/>
        <w:numPr>
          <w:ilvl w:val="0"/>
          <w:numId w:val="27"/>
        </w:numPr>
        <w:jc w:val="both"/>
        <w:rPr>
          <w:sz w:val="22"/>
        </w:rPr>
      </w:pPr>
      <w:r w:rsidRPr="00A415E5">
        <w:rPr>
          <w:sz w:val="22"/>
        </w:rPr>
        <w:t xml:space="preserve">son 3 </w:t>
      </w:r>
      <w:proofErr w:type="spellStart"/>
      <w:r w:rsidRPr="00A415E5">
        <w:rPr>
          <w:sz w:val="22"/>
        </w:rPr>
        <w:t>il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ərzində</w:t>
      </w:r>
      <w:proofErr w:type="spellEnd"/>
      <w:r w:rsidRPr="00A415E5">
        <w:rPr>
          <w:sz w:val="22"/>
        </w:rPr>
        <w:t xml:space="preserve"> bank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ya</w:t>
      </w:r>
      <w:proofErr w:type="spellEnd"/>
      <w:r w:rsidRPr="00A415E5">
        <w:rPr>
          <w:sz w:val="22"/>
        </w:rPr>
        <w:t xml:space="preserve"> fintech </w:t>
      </w:r>
      <w:proofErr w:type="spellStart"/>
      <w:r w:rsidRPr="00A415E5">
        <w:rPr>
          <w:sz w:val="22"/>
        </w:rPr>
        <w:t>sektorunda</w:t>
      </w:r>
      <w:proofErr w:type="spellEnd"/>
      <w:r w:rsidRPr="00A415E5">
        <w:rPr>
          <w:sz w:val="22"/>
        </w:rPr>
        <w:t xml:space="preserve"> minimum </w:t>
      </w:r>
      <w:r w:rsidRPr="00A415E5">
        <w:rPr>
          <w:rStyle w:val="Strong"/>
          <w:b w:val="0"/>
          <w:sz w:val="22"/>
        </w:rPr>
        <w:t xml:space="preserve">2 PCI DSS </w:t>
      </w:r>
      <w:proofErr w:type="spellStart"/>
      <w:r w:rsidRPr="00A415E5">
        <w:rPr>
          <w:rStyle w:val="Strong"/>
          <w:b w:val="0"/>
          <w:sz w:val="22"/>
        </w:rPr>
        <w:t>layihəsi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üzrə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təcrübəyə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malik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olmalıdır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5.3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Komanda</w:t>
      </w:r>
      <w:proofErr w:type="spellEnd"/>
    </w:p>
    <w:p w:rsidR="00E842C4" w:rsidRPr="00A415E5" w:rsidRDefault="00E842C4" w:rsidP="00E842C4">
      <w:pPr>
        <w:pStyle w:val="NormalWeb"/>
        <w:numPr>
          <w:ilvl w:val="0"/>
          <w:numId w:val="28"/>
        </w:numPr>
        <w:jc w:val="both"/>
        <w:rPr>
          <w:sz w:val="22"/>
        </w:rPr>
      </w:pPr>
      <w:proofErr w:type="spellStart"/>
      <w:r w:rsidRPr="00A415E5">
        <w:rPr>
          <w:sz w:val="22"/>
        </w:rPr>
        <w:t>layihədə</w:t>
      </w:r>
      <w:proofErr w:type="spellEnd"/>
      <w:r w:rsidRPr="00A415E5">
        <w:rPr>
          <w:sz w:val="22"/>
        </w:rPr>
        <w:t xml:space="preserve"> minimum </w:t>
      </w:r>
      <w:r w:rsidRPr="00A415E5">
        <w:rPr>
          <w:rStyle w:val="Strong"/>
          <w:b w:val="0"/>
          <w:sz w:val="22"/>
        </w:rPr>
        <w:t>2 (</w:t>
      </w:r>
      <w:proofErr w:type="spellStart"/>
      <w:r w:rsidRPr="00A415E5">
        <w:rPr>
          <w:rStyle w:val="Strong"/>
          <w:b w:val="0"/>
          <w:sz w:val="22"/>
        </w:rPr>
        <w:t>iki</w:t>
      </w:r>
      <w:proofErr w:type="spellEnd"/>
      <w:r w:rsidRPr="00A415E5">
        <w:rPr>
          <w:rStyle w:val="Strong"/>
          <w:b w:val="0"/>
          <w:sz w:val="22"/>
        </w:rPr>
        <w:t xml:space="preserve">) </w:t>
      </w:r>
      <w:proofErr w:type="spellStart"/>
      <w:r w:rsidRPr="00A415E5">
        <w:rPr>
          <w:rStyle w:val="Strong"/>
          <w:b w:val="0"/>
          <w:sz w:val="22"/>
        </w:rPr>
        <w:t>sertifikatlı</w:t>
      </w:r>
      <w:proofErr w:type="spellEnd"/>
      <w:r w:rsidRPr="00A415E5">
        <w:rPr>
          <w:rStyle w:val="Strong"/>
          <w:b w:val="0"/>
          <w:sz w:val="22"/>
        </w:rPr>
        <w:t xml:space="preserve"> QSA </w:t>
      </w:r>
      <w:proofErr w:type="spellStart"/>
      <w:r w:rsidRPr="00A415E5">
        <w:rPr>
          <w:rStyle w:val="Strong"/>
          <w:b w:val="0"/>
          <w:sz w:val="22"/>
        </w:rPr>
        <w:t>mütəxəssisi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iştirak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etməlidir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8"/>
        </w:numPr>
        <w:jc w:val="both"/>
        <w:rPr>
          <w:sz w:val="22"/>
        </w:rPr>
      </w:pPr>
      <w:proofErr w:type="spellStart"/>
      <w:r w:rsidRPr="00A415E5">
        <w:rPr>
          <w:sz w:val="22"/>
        </w:rPr>
        <w:t>layihədə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iştirak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edən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mütəxəssislər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əlavə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olaraq</w:t>
      </w:r>
      <w:proofErr w:type="spellEnd"/>
      <w:r w:rsidRPr="00A415E5">
        <w:rPr>
          <w:sz w:val="22"/>
        </w:rPr>
        <w:t xml:space="preserve"> </w:t>
      </w:r>
      <w:r w:rsidRPr="00A415E5">
        <w:rPr>
          <w:rStyle w:val="Strong"/>
          <w:b w:val="0"/>
          <w:sz w:val="22"/>
        </w:rPr>
        <w:t xml:space="preserve">ISO/IEC 27001 </w:t>
      </w:r>
      <w:proofErr w:type="spellStart"/>
      <w:r w:rsidRPr="00A415E5">
        <w:rPr>
          <w:rStyle w:val="Strong"/>
          <w:b w:val="0"/>
          <w:sz w:val="22"/>
        </w:rPr>
        <w:t>üzrə</w:t>
      </w:r>
      <w:proofErr w:type="spellEnd"/>
      <w:r w:rsidRPr="00A415E5">
        <w:rPr>
          <w:rStyle w:val="Strong"/>
          <w:b w:val="0"/>
          <w:sz w:val="22"/>
        </w:rPr>
        <w:t xml:space="preserve"> Lead Auditor </w:t>
      </w:r>
      <w:proofErr w:type="spellStart"/>
      <w:r w:rsidRPr="00A415E5">
        <w:rPr>
          <w:rStyle w:val="Strong"/>
          <w:b w:val="0"/>
          <w:sz w:val="22"/>
        </w:rPr>
        <w:t>sertifikatına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malik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olmalıdırlar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5.4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Hüquqi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qeydiyyat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tələbi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Tenderdə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iştirak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edən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şirkət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tələblərə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cavab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verməlidir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9A6CE5">
      <w:pPr>
        <w:pStyle w:val="NormalWeb"/>
        <w:numPr>
          <w:ilvl w:val="0"/>
          <w:numId w:val="29"/>
        </w:numPr>
        <w:spacing w:before="0" w:beforeAutospacing="0"/>
        <w:jc w:val="both"/>
        <w:rPr>
          <w:sz w:val="22"/>
        </w:rPr>
      </w:pPr>
      <w:proofErr w:type="spellStart"/>
      <w:r w:rsidRPr="00A415E5">
        <w:rPr>
          <w:sz w:val="22"/>
        </w:rPr>
        <w:t>şirkət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Azərbaycan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Respublikasının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qanunvericiliyinə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uyğun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olaraq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qeydiyyatdan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keçmiş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hüquqi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şəxs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olmalıdır</w:t>
      </w:r>
      <w:proofErr w:type="spellEnd"/>
      <w:r w:rsidRPr="00A415E5">
        <w:rPr>
          <w:rStyle w:val="Strong"/>
          <w:b w:val="0"/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9"/>
        </w:numPr>
        <w:jc w:val="both"/>
        <w:rPr>
          <w:sz w:val="22"/>
        </w:rPr>
      </w:pPr>
      <w:proofErr w:type="spellStart"/>
      <w:r w:rsidRPr="00A415E5">
        <w:rPr>
          <w:sz w:val="22"/>
        </w:rPr>
        <w:lastRenderedPageBreak/>
        <w:t>dövlət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qeydiyyatı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r w:rsidRPr="00A415E5">
        <w:rPr>
          <w:rStyle w:val="Strong"/>
          <w:b w:val="0"/>
          <w:sz w:val="22"/>
        </w:rPr>
        <w:t xml:space="preserve">VÖEN </w:t>
      </w:r>
      <w:proofErr w:type="spellStart"/>
      <w:r w:rsidRPr="00A415E5">
        <w:rPr>
          <w:rStyle w:val="Strong"/>
          <w:b w:val="0"/>
          <w:sz w:val="22"/>
        </w:rPr>
        <w:t>məlumatları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təqdim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edilməlidir</w:t>
      </w:r>
      <w:proofErr w:type="spellEnd"/>
      <w:r w:rsidRPr="00A415E5">
        <w:rPr>
          <w:rStyle w:val="Strong"/>
          <w:b w:val="0"/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29"/>
        </w:numPr>
        <w:jc w:val="both"/>
        <w:rPr>
          <w:sz w:val="22"/>
        </w:rPr>
      </w:pPr>
      <w:proofErr w:type="spellStart"/>
      <w:r w:rsidRPr="00A415E5">
        <w:rPr>
          <w:sz w:val="22"/>
        </w:rPr>
        <w:t>xarici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şirkətlər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tenderdə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yalnız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Azərbaycan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Respublikasında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qeydiyyatdan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keçmiş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hüquqi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şəxs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və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ya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rəsmi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nümayəndəlik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vasitəsilə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iştirak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bilərlər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6.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Subpodratçıların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cəlb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edilməsi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Subpodratçıların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cəlb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edilməsinə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yalnız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şərtlərlə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icazə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verilir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9A6CE5">
      <w:pPr>
        <w:pStyle w:val="NormalWeb"/>
        <w:numPr>
          <w:ilvl w:val="0"/>
          <w:numId w:val="30"/>
        </w:numPr>
        <w:spacing w:before="0" w:beforeAutospacing="0"/>
        <w:jc w:val="both"/>
        <w:rPr>
          <w:sz w:val="22"/>
        </w:rPr>
      </w:pPr>
      <w:proofErr w:type="spellStart"/>
      <w:r w:rsidRPr="00A415E5">
        <w:rPr>
          <w:sz w:val="22"/>
        </w:rPr>
        <w:t>onların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iştirakı</w:t>
      </w:r>
      <w:proofErr w:type="spellEnd"/>
      <w:r w:rsidRPr="00A415E5">
        <w:rPr>
          <w:sz w:val="22"/>
        </w:rPr>
        <w:t xml:space="preserve"> tender </w:t>
      </w:r>
      <w:proofErr w:type="spellStart"/>
      <w:r w:rsidRPr="00A415E5">
        <w:rPr>
          <w:sz w:val="22"/>
        </w:rPr>
        <w:t>təklifində</w:t>
      </w:r>
      <w:proofErr w:type="spellEnd"/>
      <w:r w:rsidRPr="00A415E5">
        <w:rPr>
          <w:sz w:val="22"/>
        </w:rPr>
        <w:t xml:space="preserve"> tam </w:t>
      </w:r>
      <w:proofErr w:type="spellStart"/>
      <w:r w:rsidRPr="00A415E5">
        <w:rPr>
          <w:sz w:val="22"/>
        </w:rPr>
        <w:t>şəkildə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açıqlanmalıdır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0"/>
        </w:numPr>
        <w:jc w:val="both"/>
        <w:rPr>
          <w:sz w:val="22"/>
        </w:rPr>
      </w:pPr>
      <w:proofErr w:type="spellStart"/>
      <w:r w:rsidRPr="00A415E5">
        <w:rPr>
          <w:sz w:val="22"/>
        </w:rPr>
        <w:t>hüquqi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məlumatları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rol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bölgüsü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göstərilməlidir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0"/>
        </w:numPr>
        <w:jc w:val="both"/>
        <w:rPr>
          <w:sz w:val="22"/>
        </w:rPr>
      </w:pPr>
      <w:proofErr w:type="spellStart"/>
      <w:r w:rsidRPr="00A415E5">
        <w:rPr>
          <w:sz w:val="22"/>
        </w:rPr>
        <w:t>sertifikat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kvalifikasiyalar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təqdim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edilməlidir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NormalWeb"/>
        <w:jc w:val="both"/>
        <w:rPr>
          <w:sz w:val="22"/>
        </w:rPr>
      </w:pPr>
      <w:proofErr w:type="spellStart"/>
      <w:r w:rsidRPr="00A415E5">
        <w:rPr>
          <w:sz w:val="22"/>
        </w:rPr>
        <w:t>Baş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podratçı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subpodratçıların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fəaliyyətinə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görə</w:t>
      </w:r>
      <w:proofErr w:type="spellEnd"/>
      <w:r w:rsidRPr="00A415E5">
        <w:rPr>
          <w:sz w:val="22"/>
        </w:rPr>
        <w:t xml:space="preserve"> </w:t>
      </w:r>
      <w:r w:rsidR="009A6CE5" w:rsidRPr="00A415E5">
        <w:rPr>
          <w:rStyle w:val="Strong"/>
          <w:b w:val="0"/>
          <w:sz w:val="22"/>
        </w:rPr>
        <w:t>tam</w:t>
      </w:r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məsuliyyət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daşıyır</w:t>
      </w:r>
      <w:proofErr w:type="spellEnd"/>
      <w:r w:rsidRPr="00A415E5">
        <w:rPr>
          <w:rStyle w:val="Strong"/>
          <w:b w:val="0"/>
          <w:sz w:val="22"/>
        </w:rPr>
        <w:t>.</w:t>
      </w:r>
    </w:p>
    <w:p w:rsidR="00E842C4" w:rsidRPr="00A415E5" w:rsidRDefault="00E842C4" w:rsidP="00E842C4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7.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Müstəqillik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Təchizatçı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aşağıdakıları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təsdiq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etməlidir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9A6CE5">
      <w:pPr>
        <w:pStyle w:val="NormalWeb"/>
        <w:numPr>
          <w:ilvl w:val="0"/>
          <w:numId w:val="31"/>
        </w:numPr>
        <w:spacing w:before="0" w:beforeAutospacing="0"/>
        <w:jc w:val="both"/>
        <w:rPr>
          <w:sz w:val="22"/>
        </w:rPr>
      </w:pPr>
      <w:proofErr w:type="spellStart"/>
      <w:r w:rsidRPr="00A415E5">
        <w:rPr>
          <w:sz w:val="22"/>
        </w:rPr>
        <w:t>maraqlar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toqquşmasının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mövcud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olmadığını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1"/>
        </w:numPr>
        <w:jc w:val="both"/>
        <w:rPr>
          <w:sz w:val="22"/>
        </w:rPr>
      </w:pPr>
      <w:proofErr w:type="spellStart"/>
      <w:r w:rsidRPr="00A415E5">
        <w:rPr>
          <w:sz w:val="22"/>
        </w:rPr>
        <w:t>Bankın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mövcud</w:t>
      </w:r>
      <w:proofErr w:type="spellEnd"/>
      <w:r w:rsidRPr="00A415E5">
        <w:rPr>
          <w:sz w:val="22"/>
        </w:rPr>
        <w:t xml:space="preserve"> İT </w:t>
      </w:r>
      <w:proofErr w:type="spellStart"/>
      <w:r w:rsidRPr="00A415E5">
        <w:rPr>
          <w:sz w:val="22"/>
        </w:rPr>
        <w:t>podratçıları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ilə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asılılıq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münasibətlərinin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olmadığını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1"/>
        </w:numPr>
        <w:jc w:val="both"/>
        <w:rPr>
          <w:sz w:val="22"/>
        </w:rPr>
      </w:pPr>
      <w:r w:rsidRPr="00A415E5">
        <w:rPr>
          <w:sz w:val="22"/>
        </w:rPr>
        <w:t xml:space="preserve">audit </w:t>
      </w:r>
      <w:proofErr w:type="spellStart"/>
      <w:r w:rsidRPr="00A415E5">
        <w:rPr>
          <w:sz w:val="22"/>
        </w:rPr>
        <w:t>müstəqilliyini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poza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biləcək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məsləhət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xidmətlərinin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göstərilmədiyini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8.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Müddətlər</w:t>
      </w:r>
      <w:proofErr w:type="spellEnd"/>
    </w:p>
    <w:p w:rsidR="00E842C4" w:rsidRPr="00A415E5" w:rsidRDefault="00E842C4" w:rsidP="00E842C4">
      <w:pPr>
        <w:pStyle w:val="NormalWeb"/>
        <w:numPr>
          <w:ilvl w:val="0"/>
          <w:numId w:val="32"/>
        </w:numPr>
        <w:jc w:val="both"/>
        <w:rPr>
          <w:sz w:val="22"/>
        </w:rPr>
      </w:pPr>
      <w:proofErr w:type="spellStart"/>
      <w:r w:rsidRPr="00A415E5">
        <w:rPr>
          <w:sz w:val="22"/>
        </w:rPr>
        <w:t>layihə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müqavilə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imzalandıqdan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sonra</w:t>
      </w:r>
      <w:proofErr w:type="spellEnd"/>
      <w:r w:rsidRPr="00A415E5">
        <w:rPr>
          <w:sz w:val="22"/>
        </w:rPr>
        <w:t xml:space="preserve"> </w:t>
      </w:r>
      <w:r w:rsidRPr="00A415E5">
        <w:rPr>
          <w:rStyle w:val="Strong"/>
          <w:b w:val="0"/>
          <w:sz w:val="22"/>
        </w:rPr>
        <w:t xml:space="preserve">5 </w:t>
      </w:r>
      <w:proofErr w:type="spellStart"/>
      <w:r w:rsidRPr="00A415E5">
        <w:rPr>
          <w:rStyle w:val="Strong"/>
          <w:b w:val="0"/>
          <w:sz w:val="22"/>
        </w:rPr>
        <w:t>iş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günü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ərzində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başlanmalıdır</w:t>
      </w:r>
      <w:proofErr w:type="spellEnd"/>
      <w:r w:rsidRPr="00A415E5">
        <w:rPr>
          <w:rStyle w:val="Strong"/>
          <w:b w:val="0"/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2"/>
        </w:numPr>
        <w:jc w:val="both"/>
        <w:rPr>
          <w:sz w:val="22"/>
        </w:rPr>
      </w:pPr>
      <w:proofErr w:type="spellStart"/>
      <w:r w:rsidRPr="00A415E5">
        <w:rPr>
          <w:sz w:val="22"/>
        </w:rPr>
        <w:t>qiymətləndirmə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müddəti</w:t>
      </w:r>
      <w:proofErr w:type="spellEnd"/>
      <w:r w:rsidRPr="00A415E5">
        <w:rPr>
          <w:sz w:val="22"/>
        </w:rPr>
        <w:t xml:space="preserve"> </w:t>
      </w:r>
      <w:r w:rsidRPr="00A415E5">
        <w:rPr>
          <w:rStyle w:val="Strong"/>
          <w:b w:val="0"/>
          <w:sz w:val="22"/>
        </w:rPr>
        <w:t xml:space="preserve">8 </w:t>
      </w:r>
      <w:proofErr w:type="spellStart"/>
      <w:r w:rsidRPr="00A415E5">
        <w:rPr>
          <w:rStyle w:val="Strong"/>
          <w:b w:val="0"/>
          <w:sz w:val="22"/>
        </w:rPr>
        <w:t>həftə</w:t>
      </w:r>
      <w:proofErr w:type="spellEnd"/>
      <w:r w:rsidRPr="00A415E5">
        <w:rPr>
          <w:rStyle w:val="Strong"/>
          <w:b w:val="0"/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2"/>
        </w:numPr>
        <w:jc w:val="both"/>
        <w:rPr>
          <w:sz w:val="22"/>
        </w:rPr>
      </w:pPr>
      <w:r w:rsidRPr="00A415E5">
        <w:rPr>
          <w:rStyle w:val="Strong"/>
          <w:b w:val="0"/>
          <w:sz w:val="22"/>
        </w:rPr>
        <w:t xml:space="preserve">ROC </w:t>
      </w:r>
      <w:proofErr w:type="spellStart"/>
      <w:r w:rsidRPr="00A415E5">
        <w:rPr>
          <w:rStyle w:val="Strong"/>
          <w:b w:val="0"/>
          <w:sz w:val="22"/>
        </w:rPr>
        <w:t>və</w:t>
      </w:r>
      <w:proofErr w:type="spellEnd"/>
      <w:r w:rsidRPr="00A415E5">
        <w:rPr>
          <w:rStyle w:val="Strong"/>
          <w:b w:val="0"/>
          <w:sz w:val="22"/>
        </w:rPr>
        <w:t xml:space="preserve"> AOC </w:t>
      </w:r>
      <w:proofErr w:type="spellStart"/>
      <w:r w:rsidRPr="00A415E5">
        <w:rPr>
          <w:rStyle w:val="Strong"/>
          <w:b w:val="0"/>
          <w:sz w:val="22"/>
        </w:rPr>
        <w:t>sənədləri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qiymətləndirmə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başa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çatdıqdan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sonra</w:t>
      </w:r>
      <w:proofErr w:type="spellEnd"/>
      <w:r w:rsidRPr="00A415E5">
        <w:rPr>
          <w:rStyle w:val="Strong"/>
          <w:b w:val="0"/>
          <w:sz w:val="22"/>
        </w:rPr>
        <w:t xml:space="preserve"> 15 </w:t>
      </w:r>
      <w:proofErr w:type="spellStart"/>
      <w:r w:rsidRPr="00A415E5">
        <w:rPr>
          <w:rStyle w:val="Strong"/>
          <w:b w:val="0"/>
          <w:sz w:val="22"/>
        </w:rPr>
        <w:t>təqvim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günü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ərzində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təqdim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edilməlidir</w:t>
      </w:r>
      <w:proofErr w:type="spellEnd"/>
      <w:r w:rsidRPr="00A415E5">
        <w:rPr>
          <w:rStyle w:val="Strong"/>
          <w:b w:val="0"/>
          <w:sz w:val="22"/>
        </w:rPr>
        <w:t>.</w:t>
      </w:r>
    </w:p>
    <w:p w:rsidR="00E842C4" w:rsidRPr="00A415E5" w:rsidRDefault="00E842C4" w:rsidP="00E842C4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9.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Kommersiya</w:t>
      </w:r>
      <w:proofErr w:type="spellEnd"/>
      <w:r w:rsidRPr="00A415E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təklifi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r w:rsidRPr="00A415E5">
        <w:rPr>
          <w:sz w:val="22"/>
        </w:rPr>
        <w:t xml:space="preserve">Tender </w:t>
      </w:r>
      <w:proofErr w:type="spellStart"/>
      <w:r w:rsidRPr="00A415E5">
        <w:rPr>
          <w:sz w:val="22"/>
        </w:rPr>
        <w:t>qiymətləndirilməsi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meyar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əsasında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aparılacaqdır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9A6CE5">
      <w:pPr>
        <w:pStyle w:val="NormalWeb"/>
        <w:numPr>
          <w:ilvl w:val="0"/>
          <w:numId w:val="33"/>
        </w:numPr>
        <w:spacing w:before="0" w:beforeAutospacing="0"/>
        <w:jc w:val="both"/>
        <w:rPr>
          <w:rStyle w:val="Strong"/>
          <w:b w:val="0"/>
          <w:bCs w:val="0"/>
          <w:sz w:val="22"/>
        </w:rPr>
      </w:pPr>
      <w:proofErr w:type="spellStart"/>
      <w:r w:rsidRPr="00A415E5">
        <w:rPr>
          <w:rStyle w:val="Strong"/>
          <w:b w:val="0"/>
          <w:sz w:val="22"/>
        </w:rPr>
        <w:t>Qiymət</w:t>
      </w:r>
      <w:proofErr w:type="spellEnd"/>
      <w:r w:rsidRPr="00A415E5">
        <w:rPr>
          <w:rStyle w:val="Strong"/>
          <w:b w:val="0"/>
          <w:sz w:val="22"/>
        </w:rPr>
        <w:t xml:space="preserve"> – 100%.</w:t>
      </w:r>
    </w:p>
    <w:p w:rsidR="00A415E5" w:rsidRPr="00A415E5" w:rsidRDefault="00A415E5" w:rsidP="00A415E5">
      <w:pPr>
        <w:pStyle w:val="NormalWeb"/>
        <w:spacing w:before="0" w:beforeAutospacing="0"/>
        <w:jc w:val="both"/>
        <w:rPr>
          <w:b/>
          <w:sz w:val="22"/>
        </w:rPr>
      </w:pPr>
      <w:bookmarkStart w:id="1" w:name="_Hlk224576948"/>
      <w:proofErr w:type="spellStart"/>
      <w:r w:rsidRPr="00A415E5">
        <w:rPr>
          <w:b/>
          <w:sz w:val="22"/>
        </w:rPr>
        <w:t>Lakin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qiymət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meyarı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yalnız</w:t>
      </w:r>
      <w:proofErr w:type="spellEnd"/>
      <w:r w:rsidRPr="00A415E5">
        <w:rPr>
          <w:b/>
          <w:sz w:val="22"/>
        </w:rPr>
        <w:t xml:space="preserve"> o </w:t>
      </w:r>
      <w:proofErr w:type="spellStart"/>
      <w:r w:rsidRPr="00A415E5">
        <w:rPr>
          <w:b/>
          <w:sz w:val="22"/>
        </w:rPr>
        <w:t>halda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nəzərə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alınacaqdır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ki</w:t>
      </w:r>
      <w:proofErr w:type="spellEnd"/>
      <w:r w:rsidRPr="00A415E5">
        <w:rPr>
          <w:b/>
          <w:sz w:val="22"/>
        </w:rPr>
        <w:t xml:space="preserve">, </w:t>
      </w:r>
      <w:proofErr w:type="spellStart"/>
      <w:r w:rsidRPr="00A415E5">
        <w:rPr>
          <w:b/>
          <w:sz w:val="22"/>
        </w:rPr>
        <w:t>təklif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təqdim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edən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şirkət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yuxarıda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qeyd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olunan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bütün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tələblərə</w:t>
      </w:r>
      <w:proofErr w:type="spellEnd"/>
      <w:r w:rsidRPr="00A415E5">
        <w:rPr>
          <w:b/>
          <w:sz w:val="22"/>
        </w:rPr>
        <w:t xml:space="preserve"> tam</w:t>
      </w:r>
      <w:r>
        <w:rPr>
          <w:b/>
          <w:sz w:val="22"/>
        </w:rPr>
        <w:t xml:space="preserve"> </w:t>
      </w:r>
      <w:r>
        <w:rPr>
          <w:b/>
          <w:sz w:val="22"/>
          <w:lang w:val="az-Latn-AZ"/>
        </w:rPr>
        <w:t>şəkildə</w:t>
      </w:r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cavab</w:t>
      </w:r>
      <w:proofErr w:type="spellEnd"/>
      <w:r w:rsidRPr="00A415E5">
        <w:rPr>
          <w:b/>
          <w:sz w:val="22"/>
        </w:rPr>
        <w:t xml:space="preserve"> </w:t>
      </w:r>
      <w:proofErr w:type="spellStart"/>
      <w:r w:rsidRPr="00A415E5">
        <w:rPr>
          <w:b/>
          <w:sz w:val="22"/>
        </w:rPr>
        <w:t>versin</w:t>
      </w:r>
      <w:proofErr w:type="spellEnd"/>
      <w:r w:rsidRPr="00A415E5">
        <w:rPr>
          <w:b/>
          <w:sz w:val="22"/>
        </w:rPr>
        <w:t>.</w:t>
      </w:r>
    </w:p>
    <w:bookmarkEnd w:id="1"/>
    <w:p w:rsidR="00E842C4" w:rsidRPr="00A415E5" w:rsidRDefault="00E842C4" w:rsidP="00E842C4">
      <w:pPr>
        <w:pStyle w:val="Heading1"/>
        <w:jc w:val="both"/>
        <w:rPr>
          <w:rFonts w:ascii="Times New Roman" w:hAnsi="Times New Roman" w:cs="Times New Roman"/>
          <w:color w:val="auto"/>
          <w:sz w:val="24"/>
        </w:rPr>
      </w:pPr>
      <w:r w:rsidRPr="00A415E5">
        <w:rPr>
          <w:rFonts w:ascii="Times New Roman" w:hAnsi="Times New Roman" w:cs="Times New Roman"/>
          <w:color w:val="auto"/>
          <w:sz w:val="24"/>
        </w:rPr>
        <w:t xml:space="preserve">10. </w:t>
      </w:r>
      <w:proofErr w:type="spellStart"/>
      <w:r w:rsidRPr="00A415E5">
        <w:rPr>
          <w:rFonts w:ascii="Times New Roman" w:hAnsi="Times New Roman" w:cs="Times New Roman"/>
          <w:color w:val="auto"/>
          <w:sz w:val="24"/>
        </w:rPr>
        <w:t>Məxfilik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Təchizatçı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tələblərə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riayət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etməlidir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E842C4">
      <w:pPr>
        <w:pStyle w:val="NormalWeb"/>
        <w:numPr>
          <w:ilvl w:val="0"/>
          <w:numId w:val="34"/>
        </w:numPr>
        <w:jc w:val="both"/>
        <w:rPr>
          <w:sz w:val="22"/>
        </w:rPr>
      </w:pPr>
      <w:r w:rsidRPr="00A415E5">
        <w:rPr>
          <w:sz w:val="22"/>
        </w:rPr>
        <w:t xml:space="preserve">Bank </w:t>
      </w:r>
      <w:proofErr w:type="spellStart"/>
      <w:r w:rsidRPr="00A415E5">
        <w:rPr>
          <w:sz w:val="22"/>
        </w:rPr>
        <w:t>ilə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məxfilik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müqaviləsi</w:t>
      </w:r>
      <w:proofErr w:type="spellEnd"/>
      <w:r w:rsidRPr="00A415E5">
        <w:rPr>
          <w:rStyle w:val="Strong"/>
          <w:b w:val="0"/>
          <w:sz w:val="22"/>
        </w:rPr>
        <w:t xml:space="preserve"> (NDA)</w:t>
      </w:r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imzalamalıdır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4"/>
        </w:numPr>
        <w:jc w:val="both"/>
        <w:rPr>
          <w:sz w:val="22"/>
        </w:rPr>
      </w:pPr>
      <w:r w:rsidRPr="00A415E5">
        <w:rPr>
          <w:sz w:val="22"/>
        </w:rPr>
        <w:t xml:space="preserve">kart </w:t>
      </w:r>
      <w:proofErr w:type="spellStart"/>
      <w:r w:rsidRPr="00A415E5">
        <w:rPr>
          <w:sz w:val="22"/>
        </w:rPr>
        <w:t>məlumatlarının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digər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həssas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məlumatların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qorunmasını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təmin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etməlidir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4"/>
        </w:numPr>
        <w:jc w:val="both"/>
        <w:rPr>
          <w:sz w:val="22"/>
        </w:rPr>
      </w:pPr>
      <w:proofErr w:type="spellStart"/>
      <w:r w:rsidRPr="00A415E5">
        <w:rPr>
          <w:sz w:val="22"/>
        </w:rPr>
        <w:t>Azərbaycan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Respublikasının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müvafiq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qanunvericiliyinə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riayət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etməlidir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4"/>
        </w:numPr>
        <w:jc w:val="both"/>
        <w:rPr>
          <w:sz w:val="22"/>
        </w:rPr>
      </w:pPr>
      <w:proofErr w:type="spellStart"/>
      <w:r w:rsidRPr="00A415E5">
        <w:rPr>
          <w:sz w:val="22"/>
        </w:rPr>
        <w:t>Bankın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yazılı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razılığı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olmadan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məlumatların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ölkə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hüdudlarından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kənara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ötürülməsinə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yol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verilməməlidir</w:t>
      </w:r>
      <w:proofErr w:type="spellEnd"/>
      <w:r w:rsidRPr="00A415E5">
        <w:rPr>
          <w:rStyle w:val="Strong"/>
          <w:b w:val="0"/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4"/>
        </w:numPr>
        <w:jc w:val="both"/>
        <w:rPr>
          <w:sz w:val="22"/>
        </w:rPr>
      </w:pPr>
      <w:r w:rsidRPr="00A415E5">
        <w:rPr>
          <w:sz w:val="22"/>
        </w:rPr>
        <w:lastRenderedPageBreak/>
        <w:t xml:space="preserve">kart </w:t>
      </w:r>
      <w:proofErr w:type="spellStart"/>
      <w:r w:rsidRPr="00A415E5">
        <w:rPr>
          <w:sz w:val="22"/>
        </w:rPr>
        <w:t>məlumatları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audit </w:t>
      </w:r>
      <w:proofErr w:type="spellStart"/>
      <w:r w:rsidRPr="00A415E5">
        <w:rPr>
          <w:sz w:val="22"/>
        </w:rPr>
        <w:t>materialları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ilə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bağlı</w:t>
      </w:r>
      <w:proofErr w:type="spellEnd"/>
      <w:r w:rsidRPr="00A415E5">
        <w:rPr>
          <w:sz w:val="22"/>
        </w:rPr>
        <w:t xml:space="preserve"> </w:t>
      </w:r>
      <w:r w:rsidRPr="00A415E5">
        <w:rPr>
          <w:rStyle w:val="Strong"/>
          <w:b w:val="0"/>
          <w:sz w:val="22"/>
        </w:rPr>
        <w:t xml:space="preserve">data residency </w:t>
      </w:r>
      <w:proofErr w:type="spellStart"/>
      <w:r w:rsidRPr="00A415E5">
        <w:rPr>
          <w:rStyle w:val="Strong"/>
          <w:b w:val="0"/>
          <w:sz w:val="22"/>
        </w:rPr>
        <w:t>tələblərinə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əməl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edilməlidir</w:t>
      </w:r>
      <w:proofErr w:type="spellEnd"/>
      <w:r w:rsidRPr="00A415E5">
        <w:rPr>
          <w:rStyle w:val="Strong"/>
          <w:b w:val="0"/>
          <w:sz w:val="22"/>
        </w:rPr>
        <w:t>.</w:t>
      </w:r>
    </w:p>
    <w:p w:rsidR="00E842C4" w:rsidRPr="00A415E5" w:rsidRDefault="00E842C4" w:rsidP="00E842C4">
      <w:pPr>
        <w:pStyle w:val="Heading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11.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Layihə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üzrə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kommunikasiya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və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konsultasiya</w:t>
      </w:r>
      <w:proofErr w:type="spellEnd"/>
    </w:p>
    <w:p w:rsidR="00E842C4" w:rsidRPr="00A415E5" w:rsidRDefault="00E842C4" w:rsidP="00E842C4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11.1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Layihə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üzrə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təyin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edilmiş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QSA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mütəxəssisi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Layihə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üzrə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məsul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şəxs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qismində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bir</w:t>
      </w:r>
      <w:proofErr w:type="spellEnd"/>
      <w:r w:rsidRPr="00A415E5">
        <w:rPr>
          <w:sz w:val="22"/>
        </w:rPr>
        <w:t xml:space="preserve"> QSA </w:t>
      </w:r>
      <w:proofErr w:type="spellStart"/>
      <w:r w:rsidRPr="00A415E5">
        <w:rPr>
          <w:sz w:val="22"/>
        </w:rPr>
        <w:t>mütəxəssisi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təyin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edilməlidir</w:t>
      </w:r>
      <w:proofErr w:type="spellEnd"/>
      <w:r w:rsidRPr="00A415E5">
        <w:rPr>
          <w:sz w:val="22"/>
        </w:rPr>
        <w:t xml:space="preserve">. </w:t>
      </w:r>
      <w:proofErr w:type="spellStart"/>
      <w:r w:rsidRPr="00A415E5">
        <w:rPr>
          <w:sz w:val="22"/>
        </w:rPr>
        <w:t>Həmin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mütəxəssis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E842C4">
      <w:pPr>
        <w:pStyle w:val="NormalWeb"/>
        <w:numPr>
          <w:ilvl w:val="0"/>
          <w:numId w:val="35"/>
        </w:numPr>
        <w:jc w:val="both"/>
        <w:rPr>
          <w:sz w:val="22"/>
        </w:rPr>
      </w:pPr>
      <w:r w:rsidRPr="00A415E5">
        <w:rPr>
          <w:sz w:val="22"/>
        </w:rPr>
        <w:t xml:space="preserve">PCI SSC </w:t>
      </w:r>
      <w:proofErr w:type="spellStart"/>
      <w:r w:rsidRPr="00A415E5">
        <w:rPr>
          <w:sz w:val="22"/>
        </w:rPr>
        <w:t>tərəfindən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tanınmış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qüvvədə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olan</w:t>
      </w:r>
      <w:proofErr w:type="spellEnd"/>
      <w:r w:rsidRPr="00A415E5">
        <w:rPr>
          <w:sz w:val="22"/>
        </w:rPr>
        <w:t xml:space="preserve"> QSA </w:t>
      </w:r>
      <w:proofErr w:type="spellStart"/>
      <w:r w:rsidRPr="00A415E5">
        <w:rPr>
          <w:sz w:val="22"/>
        </w:rPr>
        <w:t>sertifikatına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malik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olmalıdır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5"/>
        </w:numPr>
        <w:jc w:val="both"/>
        <w:rPr>
          <w:sz w:val="22"/>
        </w:rPr>
      </w:pPr>
      <w:proofErr w:type="spellStart"/>
      <w:r w:rsidRPr="00A415E5">
        <w:rPr>
          <w:sz w:val="22"/>
        </w:rPr>
        <w:t>həftədə</w:t>
      </w:r>
      <w:proofErr w:type="spellEnd"/>
      <w:r w:rsidRPr="00A415E5">
        <w:rPr>
          <w:sz w:val="22"/>
        </w:rPr>
        <w:t xml:space="preserve"> 5 </w:t>
      </w:r>
      <w:proofErr w:type="spellStart"/>
      <w:r w:rsidRPr="00A415E5">
        <w:rPr>
          <w:sz w:val="22"/>
        </w:rPr>
        <w:t>iş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günü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olmaqla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gündə</w:t>
      </w:r>
      <w:proofErr w:type="spellEnd"/>
      <w:r w:rsidRPr="00A415E5">
        <w:rPr>
          <w:sz w:val="22"/>
        </w:rPr>
        <w:t xml:space="preserve"> minimum </w:t>
      </w:r>
      <w:r w:rsidRPr="00A415E5">
        <w:rPr>
          <w:rStyle w:val="Strong"/>
          <w:b w:val="0"/>
          <w:sz w:val="22"/>
        </w:rPr>
        <w:t xml:space="preserve">8 </w:t>
      </w:r>
      <w:proofErr w:type="spellStart"/>
      <w:r w:rsidRPr="00A415E5">
        <w:rPr>
          <w:rStyle w:val="Strong"/>
          <w:b w:val="0"/>
          <w:sz w:val="22"/>
        </w:rPr>
        <w:t>saat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əlçatan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olmalıdır</w:t>
      </w:r>
      <w:proofErr w:type="spellEnd"/>
      <w:r w:rsidRPr="00A415E5">
        <w:rPr>
          <w:rStyle w:val="Strong"/>
          <w:b w:val="0"/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5"/>
        </w:numPr>
        <w:jc w:val="both"/>
        <w:rPr>
          <w:sz w:val="22"/>
        </w:rPr>
      </w:pPr>
      <w:proofErr w:type="spellStart"/>
      <w:r w:rsidRPr="00A415E5">
        <w:rPr>
          <w:sz w:val="22"/>
        </w:rPr>
        <w:t>təqdim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olunan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tövsiyələrin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vahid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metodologiya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əsasında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hazırlanmasını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təmin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etməlidir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11.2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Kommunikasiya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və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əlçatanlıq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Təchizatçı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kommunikasiya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imkanlarını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təmin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etməlidir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E842C4">
      <w:pPr>
        <w:pStyle w:val="NormalWeb"/>
        <w:numPr>
          <w:ilvl w:val="0"/>
          <w:numId w:val="36"/>
        </w:numPr>
        <w:jc w:val="both"/>
        <w:rPr>
          <w:sz w:val="22"/>
        </w:rPr>
      </w:pPr>
      <w:r w:rsidRPr="00A415E5">
        <w:rPr>
          <w:rStyle w:val="Strong"/>
          <w:b w:val="0"/>
          <w:sz w:val="22"/>
        </w:rPr>
        <w:t xml:space="preserve">24/7 </w:t>
      </w:r>
      <w:proofErr w:type="spellStart"/>
      <w:r w:rsidRPr="00A415E5">
        <w:rPr>
          <w:rStyle w:val="Strong"/>
          <w:b w:val="0"/>
          <w:sz w:val="22"/>
        </w:rPr>
        <w:t>rejimində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texniki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kommunikasiya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kanalları</w:t>
      </w:r>
      <w:proofErr w:type="spellEnd"/>
      <w:r w:rsidRPr="00A415E5">
        <w:rPr>
          <w:sz w:val="22"/>
        </w:rPr>
        <w:t xml:space="preserve"> (</w:t>
      </w:r>
      <w:proofErr w:type="spellStart"/>
      <w:r w:rsidRPr="00A415E5">
        <w:rPr>
          <w:sz w:val="22"/>
        </w:rPr>
        <w:t>korporativ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çatlar</w:t>
      </w:r>
      <w:proofErr w:type="spellEnd"/>
      <w:r w:rsidRPr="00A415E5">
        <w:rPr>
          <w:sz w:val="22"/>
        </w:rPr>
        <w:t xml:space="preserve">, </w:t>
      </w:r>
      <w:proofErr w:type="spellStart"/>
      <w:r w:rsidRPr="00A415E5">
        <w:rPr>
          <w:sz w:val="22"/>
        </w:rPr>
        <w:t>elektron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poçt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razılaşdırılmış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digər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vasitələr</w:t>
      </w:r>
      <w:proofErr w:type="spellEnd"/>
      <w:r w:rsidRPr="00A415E5">
        <w:rPr>
          <w:sz w:val="22"/>
        </w:rPr>
        <w:t xml:space="preserve">) </w:t>
      </w:r>
      <w:proofErr w:type="spellStart"/>
      <w:r w:rsidRPr="00A415E5">
        <w:rPr>
          <w:sz w:val="22"/>
        </w:rPr>
        <w:t>vasitəsilə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sualların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ünvanlanması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imkanı</w:t>
      </w:r>
      <w:proofErr w:type="spellEnd"/>
      <w:r w:rsidRPr="00A415E5">
        <w:rPr>
          <w:sz w:val="22"/>
        </w:rPr>
        <w:t>.</w:t>
      </w:r>
    </w:p>
    <w:p w:rsidR="00E842C4" w:rsidRPr="00A415E5" w:rsidRDefault="00E842C4" w:rsidP="00E842C4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11.3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Konsultasiyaların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əhatə</w:t>
      </w:r>
      <w:proofErr w:type="spellEnd"/>
      <w:r w:rsidRPr="00A415E5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proofErr w:type="spellStart"/>
      <w:r w:rsidRPr="00A415E5">
        <w:rPr>
          <w:rFonts w:ascii="Times New Roman" w:hAnsi="Times New Roman" w:cs="Times New Roman"/>
          <w:b w:val="0"/>
          <w:color w:val="auto"/>
          <w:sz w:val="24"/>
        </w:rPr>
        <w:t>dairəsi</w:t>
      </w:r>
      <w:proofErr w:type="spellEnd"/>
    </w:p>
    <w:p w:rsidR="00E842C4" w:rsidRPr="00A415E5" w:rsidRDefault="00E842C4" w:rsidP="009A6CE5">
      <w:pPr>
        <w:pStyle w:val="NormalWeb"/>
        <w:spacing w:after="0" w:afterAutospacing="0"/>
        <w:jc w:val="both"/>
        <w:rPr>
          <w:sz w:val="22"/>
        </w:rPr>
      </w:pPr>
      <w:proofErr w:type="spellStart"/>
      <w:r w:rsidRPr="00A415E5">
        <w:rPr>
          <w:sz w:val="22"/>
        </w:rPr>
        <w:t>Konsultasiya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xidmətləri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aşağıdakı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sahələri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əhatə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etməlidir</w:t>
      </w:r>
      <w:proofErr w:type="spellEnd"/>
      <w:r w:rsidRPr="00A415E5">
        <w:rPr>
          <w:sz w:val="22"/>
        </w:rPr>
        <w:t>:</w:t>
      </w:r>
    </w:p>
    <w:p w:rsidR="00E842C4" w:rsidRPr="00A415E5" w:rsidRDefault="00E842C4" w:rsidP="00E842C4">
      <w:pPr>
        <w:pStyle w:val="NormalWeb"/>
        <w:numPr>
          <w:ilvl w:val="0"/>
          <w:numId w:val="37"/>
        </w:numPr>
        <w:jc w:val="both"/>
        <w:rPr>
          <w:sz w:val="22"/>
        </w:rPr>
      </w:pPr>
      <w:proofErr w:type="spellStart"/>
      <w:r w:rsidRPr="00A415E5">
        <w:rPr>
          <w:sz w:val="22"/>
        </w:rPr>
        <w:t>ən</w:t>
      </w:r>
      <w:proofErr w:type="spellEnd"/>
      <w:r w:rsidRPr="00A415E5">
        <w:rPr>
          <w:sz w:val="22"/>
        </w:rPr>
        <w:t xml:space="preserve"> son </w:t>
      </w:r>
      <w:r w:rsidRPr="00A415E5">
        <w:rPr>
          <w:rStyle w:val="Strong"/>
          <w:b w:val="0"/>
          <w:sz w:val="22"/>
        </w:rPr>
        <w:t xml:space="preserve">PCI DSS </w:t>
      </w:r>
      <w:proofErr w:type="spellStart"/>
      <w:r w:rsidRPr="00A415E5">
        <w:rPr>
          <w:rStyle w:val="Strong"/>
          <w:b w:val="0"/>
          <w:sz w:val="22"/>
        </w:rPr>
        <w:t>standartının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tələbləri</w:t>
      </w:r>
      <w:proofErr w:type="spellEnd"/>
      <w:r w:rsidRPr="00A415E5">
        <w:rPr>
          <w:rStyle w:val="Strong"/>
          <w:b w:val="0"/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7"/>
        </w:numPr>
        <w:jc w:val="both"/>
        <w:rPr>
          <w:sz w:val="22"/>
        </w:rPr>
      </w:pPr>
      <w:proofErr w:type="spellStart"/>
      <w:r w:rsidRPr="00A415E5">
        <w:rPr>
          <w:sz w:val="22"/>
        </w:rPr>
        <w:t>standart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tələblərinin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Bankın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mövcud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infrastrukturuna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tətbiqi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7"/>
        </w:numPr>
        <w:jc w:val="both"/>
        <w:rPr>
          <w:sz w:val="22"/>
        </w:rPr>
      </w:pPr>
      <w:r w:rsidRPr="00A415E5">
        <w:rPr>
          <w:rStyle w:val="Strong"/>
          <w:b w:val="0"/>
          <w:sz w:val="22"/>
        </w:rPr>
        <w:t xml:space="preserve">CDE </w:t>
      </w:r>
      <w:proofErr w:type="spellStart"/>
      <w:r w:rsidRPr="00A415E5">
        <w:rPr>
          <w:rStyle w:val="Strong"/>
          <w:b w:val="0"/>
          <w:sz w:val="22"/>
        </w:rPr>
        <w:t>arxitekturası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və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seqmentasiya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məsələləri</w:t>
      </w:r>
      <w:proofErr w:type="spellEnd"/>
      <w:r w:rsidRPr="00A415E5">
        <w:rPr>
          <w:rStyle w:val="Strong"/>
          <w:b w:val="0"/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7"/>
        </w:numPr>
        <w:jc w:val="both"/>
        <w:rPr>
          <w:sz w:val="22"/>
        </w:rPr>
      </w:pPr>
      <w:proofErr w:type="spellStart"/>
      <w:r w:rsidRPr="00A415E5">
        <w:rPr>
          <w:sz w:val="22"/>
        </w:rPr>
        <w:t>informasiya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təhlükəsizliyi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prosesləri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7"/>
        </w:numPr>
        <w:jc w:val="both"/>
        <w:rPr>
          <w:sz w:val="22"/>
        </w:rPr>
      </w:pPr>
      <w:proofErr w:type="spellStart"/>
      <w:r w:rsidRPr="00A415E5">
        <w:rPr>
          <w:sz w:val="22"/>
        </w:rPr>
        <w:t>əlaqəli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tənzimləyici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metodoloji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çərçivələr</w:t>
      </w:r>
      <w:proofErr w:type="spellEnd"/>
      <w:r w:rsidRPr="00A415E5">
        <w:rPr>
          <w:sz w:val="22"/>
        </w:rPr>
        <w:t>;</w:t>
      </w:r>
    </w:p>
    <w:p w:rsidR="00E842C4" w:rsidRPr="00A415E5" w:rsidRDefault="00E842C4" w:rsidP="00E842C4">
      <w:pPr>
        <w:pStyle w:val="NormalWeb"/>
        <w:numPr>
          <w:ilvl w:val="0"/>
          <w:numId w:val="37"/>
        </w:numPr>
        <w:jc w:val="both"/>
        <w:rPr>
          <w:sz w:val="22"/>
        </w:rPr>
      </w:pPr>
      <w:proofErr w:type="spellStart"/>
      <w:r w:rsidRPr="00A415E5">
        <w:rPr>
          <w:sz w:val="22"/>
        </w:rPr>
        <w:t>texniki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və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təşkilati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tədbirlərin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praktik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tətbiqi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üzrə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tövsiyələr</w:t>
      </w:r>
      <w:proofErr w:type="spellEnd"/>
      <w:r w:rsidRPr="00A415E5">
        <w:rPr>
          <w:sz w:val="22"/>
        </w:rPr>
        <w:t>.</w:t>
      </w:r>
    </w:p>
    <w:p w:rsidR="00280ADC" w:rsidRPr="00A415E5" w:rsidRDefault="00E842C4" w:rsidP="009A6CE5">
      <w:pPr>
        <w:pStyle w:val="NormalWeb"/>
        <w:jc w:val="both"/>
        <w:rPr>
          <w:sz w:val="22"/>
        </w:rPr>
      </w:pPr>
      <w:proofErr w:type="spellStart"/>
      <w:r w:rsidRPr="00A415E5">
        <w:rPr>
          <w:sz w:val="22"/>
        </w:rPr>
        <w:t>Konsultasiya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xidməti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yalnız</w:t>
      </w:r>
      <w:proofErr w:type="spellEnd"/>
      <w:r w:rsidRPr="00A415E5">
        <w:rPr>
          <w:sz w:val="22"/>
        </w:rPr>
        <w:t xml:space="preserve"> PCI DSS </w:t>
      </w:r>
      <w:proofErr w:type="spellStart"/>
      <w:r w:rsidRPr="00A415E5">
        <w:rPr>
          <w:sz w:val="22"/>
        </w:rPr>
        <w:t>standartının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mətninin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şərhi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ilə</w:t>
      </w:r>
      <w:proofErr w:type="spellEnd"/>
      <w:r w:rsidRPr="00A415E5">
        <w:rPr>
          <w:sz w:val="22"/>
        </w:rPr>
        <w:t xml:space="preserve"> </w:t>
      </w:r>
      <w:proofErr w:type="spellStart"/>
      <w:r w:rsidRPr="00A415E5">
        <w:rPr>
          <w:sz w:val="22"/>
        </w:rPr>
        <w:t>məhdudlaşmamalı</w:t>
      </w:r>
      <w:proofErr w:type="spellEnd"/>
      <w:r w:rsidRPr="00A415E5">
        <w:rPr>
          <w:sz w:val="22"/>
        </w:rPr>
        <w:t xml:space="preserve">, </w:t>
      </w:r>
      <w:proofErr w:type="spellStart"/>
      <w:r w:rsidRPr="00A415E5">
        <w:rPr>
          <w:rStyle w:val="Strong"/>
          <w:b w:val="0"/>
          <w:sz w:val="22"/>
        </w:rPr>
        <w:t>Bankın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mövcud</w:t>
      </w:r>
      <w:proofErr w:type="spellEnd"/>
      <w:r w:rsidRPr="00A415E5">
        <w:rPr>
          <w:rStyle w:val="Strong"/>
          <w:b w:val="0"/>
          <w:sz w:val="22"/>
        </w:rPr>
        <w:t xml:space="preserve"> İT </w:t>
      </w:r>
      <w:proofErr w:type="spellStart"/>
      <w:r w:rsidRPr="00A415E5">
        <w:rPr>
          <w:rStyle w:val="Strong"/>
          <w:b w:val="0"/>
          <w:sz w:val="22"/>
        </w:rPr>
        <w:t>infrastrukturu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və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əməliyyat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mühiti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nəzərə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alınmaqla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təqdim</w:t>
      </w:r>
      <w:proofErr w:type="spellEnd"/>
      <w:r w:rsidRPr="00A415E5">
        <w:rPr>
          <w:rStyle w:val="Strong"/>
          <w:b w:val="0"/>
          <w:sz w:val="22"/>
        </w:rPr>
        <w:t xml:space="preserve"> </w:t>
      </w:r>
      <w:proofErr w:type="spellStart"/>
      <w:r w:rsidRPr="00A415E5">
        <w:rPr>
          <w:rStyle w:val="Strong"/>
          <w:b w:val="0"/>
          <w:sz w:val="22"/>
        </w:rPr>
        <w:t>edilməlidir</w:t>
      </w:r>
      <w:proofErr w:type="spellEnd"/>
      <w:r w:rsidRPr="00A415E5">
        <w:rPr>
          <w:rStyle w:val="Strong"/>
          <w:b w:val="0"/>
          <w:sz w:val="22"/>
        </w:rPr>
        <w:t>.</w:t>
      </w:r>
    </w:p>
    <w:sectPr w:rsidR="00280ADC" w:rsidRPr="00A415E5" w:rsidSect="009A6CE5">
      <w:pgSz w:w="12240" w:h="15840"/>
      <w:pgMar w:top="1440" w:right="900" w:bottom="1440" w:left="153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B5A" w:rsidRDefault="000B1B5A">
      <w:pPr>
        <w:spacing w:after="0" w:line="240" w:lineRule="auto"/>
      </w:pPr>
      <w:r>
        <w:separator/>
      </w:r>
    </w:p>
  </w:endnote>
  <w:endnote w:type="continuationSeparator" w:id="0">
    <w:p w:rsidR="000B1B5A" w:rsidRDefault="000B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B5A" w:rsidRDefault="000B1B5A">
      <w:pPr>
        <w:spacing w:after="0" w:line="240" w:lineRule="auto"/>
      </w:pPr>
      <w:r>
        <w:separator/>
      </w:r>
    </w:p>
  </w:footnote>
  <w:footnote w:type="continuationSeparator" w:id="0">
    <w:p w:rsidR="000B1B5A" w:rsidRDefault="000B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211F"/>
    <w:multiLevelType w:val="multilevel"/>
    <w:tmpl w:val="D88C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F7F2E"/>
    <w:multiLevelType w:val="multilevel"/>
    <w:tmpl w:val="F9D2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0024E"/>
    <w:multiLevelType w:val="multilevel"/>
    <w:tmpl w:val="223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813E1"/>
    <w:multiLevelType w:val="multilevel"/>
    <w:tmpl w:val="B096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87BBB"/>
    <w:multiLevelType w:val="multilevel"/>
    <w:tmpl w:val="FF3C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63132"/>
    <w:multiLevelType w:val="multilevel"/>
    <w:tmpl w:val="280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46181"/>
    <w:multiLevelType w:val="multilevel"/>
    <w:tmpl w:val="427E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513F2"/>
    <w:multiLevelType w:val="multilevel"/>
    <w:tmpl w:val="D7DA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06826"/>
    <w:multiLevelType w:val="multilevel"/>
    <w:tmpl w:val="85B6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35850"/>
    <w:multiLevelType w:val="multilevel"/>
    <w:tmpl w:val="86DC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05658"/>
    <w:multiLevelType w:val="multilevel"/>
    <w:tmpl w:val="8E6C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17E74"/>
    <w:multiLevelType w:val="multilevel"/>
    <w:tmpl w:val="B87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D4EEC"/>
    <w:multiLevelType w:val="multilevel"/>
    <w:tmpl w:val="A97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B0302"/>
    <w:multiLevelType w:val="multilevel"/>
    <w:tmpl w:val="02A6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613D6"/>
    <w:multiLevelType w:val="multilevel"/>
    <w:tmpl w:val="21A4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35767"/>
    <w:multiLevelType w:val="multilevel"/>
    <w:tmpl w:val="8978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F37CD2"/>
    <w:multiLevelType w:val="multilevel"/>
    <w:tmpl w:val="D104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9768C"/>
    <w:multiLevelType w:val="multilevel"/>
    <w:tmpl w:val="4C96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B0A28"/>
    <w:multiLevelType w:val="multilevel"/>
    <w:tmpl w:val="83B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10F17"/>
    <w:multiLevelType w:val="multilevel"/>
    <w:tmpl w:val="B432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219A6"/>
    <w:multiLevelType w:val="multilevel"/>
    <w:tmpl w:val="3C34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123B4F"/>
    <w:multiLevelType w:val="multilevel"/>
    <w:tmpl w:val="3B00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AC367C"/>
    <w:multiLevelType w:val="multilevel"/>
    <w:tmpl w:val="FF44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99510E"/>
    <w:multiLevelType w:val="multilevel"/>
    <w:tmpl w:val="1CFC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D1132D"/>
    <w:multiLevelType w:val="multilevel"/>
    <w:tmpl w:val="0B6A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70D73"/>
    <w:multiLevelType w:val="multilevel"/>
    <w:tmpl w:val="B57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6C10A8"/>
    <w:multiLevelType w:val="multilevel"/>
    <w:tmpl w:val="4F18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14744"/>
    <w:multiLevelType w:val="multilevel"/>
    <w:tmpl w:val="3C46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B7028A"/>
    <w:multiLevelType w:val="multilevel"/>
    <w:tmpl w:val="A9FA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3F5464"/>
    <w:multiLevelType w:val="multilevel"/>
    <w:tmpl w:val="82B6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9763C"/>
    <w:multiLevelType w:val="multilevel"/>
    <w:tmpl w:val="4ED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4511CE"/>
    <w:multiLevelType w:val="multilevel"/>
    <w:tmpl w:val="69A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687351"/>
    <w:multiLevelType w:val="multilevel"/>
    <w:tmpl w:val="60FE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3D4B59"/>
    <w:multiLevelType w:val="multilevel"/>
    <w:tmpl w:val="AD9C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D4640C"/>
    <w:multiLevelType w:val="multilevel"/>
    <w:tmpl w:val="BF6C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B4CCE"/>
    <w:multiLevelType w:val="multilevel"/>
    <w:tmpl w:val="993E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9E30C4"/>
    <w:multiLevelType w:val="multilevel"/>
    <w:tmpl w:val="322E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3"/>
  </w:num>
  <w:num w:numId="3">
    <w:abstractNumId w:val="5"/>
  </w:num>
  <w:num w:numId="4">
    <w:abstractNumId w:val="19"/>
  </w:num>
  <w:num w:numId="5">
    <w:abstractNumId w:val="14"/>
  </w:num>
  <w:num w:numId="6">
    <w:abstractNumId w:val="26"/>
  </w:num>
  <w:num w:numId="7">
    <w:abstractNumId w:val="29"/>
  </w:num>
  <w:num w:numId="8">
    <w:abstractNumId w:val="24"/>
  </w:num>
  <w:num w:numId="9">
    <w:abstractNumId w:val="16"/>
  </w:num>
  <w:num w:numId="10">
    <w:abstractNumId w:val="10"/>
  </w:num>
  <w:num w:numId="11">
    <w:abstractNumId w:val="27"/>
  </w:num>
  <w:num w:numId="12">
    <w:abstractNumId w:val="18"/>
  </w:num>
  <w:num w:numId="13">
    <w:abstractNumId w:val="12"/>
  </w:num>
  <w:num w:numId="14">
    <w:abstractNumId w:val="21"/>
  </w:num>
  <w:num w:numId="15">
    <w:abstractNumId w:val="33"/>
  </w:num>
  <w:num w:numId="16">
    <w:abstractNumId w:val="7"/>
  </w:num>
  <w:num w:numId="17">
    <w:abstractNumId w:val="6"/>
  </w:num>
  <w:num w:numId="18">
    <w:abstractNumId w:val="11"/>
  </w:num>
  <w:num w:numId="19">
    <w:abstractNumId w:val="28"/>
  </w:num>
  <w:num w:numId="20">
    <w:abstractNumId w:val="25"/>
  </w:num>
  <w:num w:numId="21">
    <w:abstractNumId w:val="17"/>
  </w:num>
  <w:num w:numId="22">
    <w:abstractNumId w:val="36"/>
  </w:num>
  <w:num w:numId="23">
    <w:abstractNumId w:val="0"/>
  </w:num>
  <w:num w:numId="24">
    <w:abstractNumId w:val="9"/>
  </w:num>
  <w:num w:numId="25">
    <w:abstractNumId w:val="15"/>
  </w:num>
  <w:num w:numId="26">
    <w:abstractNumId w:val="35"/>
  </w:num>
  <w:num w:numId="27">
    <w:abstractNumId w:val="31"/>
  </w:num>
  <w:num w:numId="28">
    <w:abstractNumId w:val="8"/>
  </w:num>
  <w:num w:numId="29">
    <w:abstractNumId w:val="13"/>
  </w:num>
  <w:num w:numId="30">
    <w:abstractNumId w:val="22"/>
  </w:num>
  <w:num w:numId="31">
    <w:abstractNumId w:val="20"/>
  </w:num>
  <w:num w:numId="32">
    <w:abstractNumId w:val="34"/>
  </w:num>
  <w:num w:numId="33">
    <w:abstractNumId w:val="32"/>
  </w:num>
  <w:num w:numId="34">
    <w:abstractNumId w:val="2"/>
  </w:num>
  <w:num w:numId="35">
    <w:abstractNumId w:val="30"/>
  </w:num>
  <w:num w:numId="36">
    <w:abstractNumId w:val="3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DC"/>
    <w:rsid w:val="00042056"/>
    <w:rsid w:val="000B1B5A"/>
    <w:rsid w:val="00280ADC"/>
    <w:rsid w:val="002E689D"/>
    <w:rsid w:val="003E4CA0"/>
    <w:rsid w:val="00413C8D"/>
    <w:rsid w:val="00523658"/>
    <w:rsid w:val="006468A6"/>
    <w:rsid w:val="009A6CE5"/>
    <w:rsid w:val="009D44C1"/>
    <w:rsid w:val="009F2AD6"/>
    <w:rsid w:val="00A415E5"/>
    <w:rsid w:val="00D642F1"/>
    <w:rsid w:val="00E8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878FD8-41C2-4305-97A7-13CAA025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iCs/>
      <w:color w:val="243F6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iCs/>
      <w:color w:val="4F81BD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Yelo Bank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Diyar Ahmadov</dc:creator>
  <cp:lastModifiedBy>Diyar Ahmadov</cp:lastModifiedBy>
  <cp:revision>3</cp:revision>
  <dcterms:created xsi:type="dcterms:W3CDTF">2026-03-17T11:01:00Z</dcterms:created>
  <dcterms:modified xsi:type="dcterms:W3CDTF">2026-03-17T11:02:00Z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6f993af4-635d-47e6-813c-3799bf9ba998</vt:lpwstr>
  </property>
</Properties>
</file>